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59D" w:rsidRDefault="009A0EF9" w:rsidP="009A0EF9">
      <w:pPr>
        <w:pStyle w:val="berschrift1"/>
      </w:pPr>
      <w:r w:rsidRPr="009A0EF9">
        <w:t>Die Rolle der Bioenergie</w:t>
      </w:r>
      <w:r>
        <w:t xml:space="preserve"> </w:t>
      </w:r>
      <w:r w:rsidRPr="009A0EF9">
        <w:t>in einer nachhaltigen Energieversorgung</w:t>
      </w:r>
    </w:p>
    <w:p w:rsidR="009663A6" w:rsidRDefault="009A0EF9" w:rsidP="009A0EF9">
      <w:pPr>
        <w:spacing w:after="120" w:line="20" w:lineRule="atLeast"/>
      </w:pPr>
      <w:r>
        <w:t>(vorgetragen von D. Thrän)</w:t>
      </w:r>
    </w:p>
    <w:p w:rsidR="009A0EF9" w:rsidRPr="009663A6" w:rsidRDefault="009A0EF9" w:rsidP="009A0EF9">
      <w:pPr>
        <w:spacing w:after="120" w:line="20" w:lineRule="atLeast"/>
      </w:pPr>
      <w:r>
        <w:t>Daniela Thrän</w:t>
      </w:r>
      <w:r w:rsidR="00B14992" w:rsidRPr="00B14992">
        <w:rPr>
          <w:vertAlign w:val="superscript"/>
        </w:rPr>
        <w:t>1,2</w:t>
      </w:r>
      <w:r>
        <w:t xml:space="preserve"> und Jens Ponitka</w:t>
      </w:r>
      <w:r w:rsidR="00B14992" w:rsidRPr="00B14992">
        <w:rPr>
          <w:vertAlign w:val="superscript"/>
        </w:rPr>
        <w:t>2</w:t>
      </w:r>
      <w:r w:rsidR="00F15728">
        <w:br/>
      </w:r>
      <w:r w:rsidR="005E104C">
        <w:t>(</w:t>
      </w:r>
      <w:r w:rsidR="00B14992" w:rsidRPr="00B14992">
        <w:rPr>
          <w:vertAlign w:val="superscript"/>
        </w:rPr>
        <w:t>1</w:t>
      </w:r>
      <w:r w:rsidR="005E104C" w:rsidRPr="005E104C">
        <w:t xml:space="preserve">Helmholtz-Zentrum für Umweltforschung </w:t>
      </w:r>
      <w:r w:rsidR="00B14992">
        <w:t xml:space="preserve">- </w:t>
      </w:r>
      <w:r w:rsidR="005E104C">
        <w:t xml:space="preserve">UFZ; </w:t>
      </w:r>
      <w:r w:rsidR="00B14992" w:rsidRPr="00B14992">
        <w:rPr>
          <w:vertAlign w:val="superscript"/>
        </w:rPr>
        <w:t>2</w:t>
      </w:r>
      <w:r w:rsidR="005E104C">
        <w:t>Deutsches Biomasseforschungszentrum gemeinnützige GmbH)</w:t>
      </w:r>
    </w:p>
    <w:p w:rsidR="009A0EF9" w:rsidRDefault="009A0EF9" w:rsidP="009A0EF9">
      <w:pPr>
        <w:pStyle w:val="berschrift1"/>
      </w:pPr>
      <w:r>
        <w:t>Abstract</w:t>
      </w:r>
    </w:p>
    <w:p w:rsidR="009A0EF9" w:rsidRDefault="00F15728" w:rsidP="009A0EF9">
      <w:r>
        <w:t xml:space="preserve">Der Anteil der erneuerbaren Energien wird </w:t>
      </w:r>
      <w:r w:rsidR="00A443CB">
        <w:t xml:space="preserve">mit dem Ziel einer möglichst </w:t>
      </w:r>
      <w:r>
        <w:t>nachhaltige</w:t>
      </w:r>
      <w:r w:rsidR="00A443CB">
        <w:t>n</w:t>
      </w:r>
      <w:r>
        <w:t xml:space="preserve"> Energieversorgung zukünftig weiter steigen. </w:t>
      </w:r>
      <w:r w:rsidR="00E657DE">
        <w:t xml:space="preserve">Energie aus Biomasse </w:t>
      </w:r>
      <w:r>
        <w:t xml:space="preserve">ist </w:t>
      </w:r>
      <w:r w:rsidR="00B0731C">
        <w:t xml:space="preserve">derzeit </w:t>
      </w:r>
      <w:r>
        <w:t xml:space="preserve">ein wichtiges Glied in der Versorgung der Bürger und Industrie mit Strom, Wärme und Kraftstoffen. </w:t>
      </w:r>
      <w:r w:rsidR="00B0731C">
        <w:t xml:space="preserve">Jedoch sind die Potenziale begrenzt und sollten zukünftig möglichst effizient und nachhaltig genutzt werden. Hierfür gibt es eine </w:t>
      </w:r>
      <w:r w:rsidR="00DA79FE">
        <w:t xml:space="preserve">Vielzahl </w:t>
      </w:r>
      <w:r w:rsidR="00B0731C">
        <w:t>von organisatorischen und technischen Möglichkei</w:t>
      </w:r>
      <w:r w:rsidR="00622DEE">
        <w:t>ten</w:t>
      </w:r>
      <w:r w:rsidR="00DA79FE">
        <w:t xml:space="preserve"> und Anforderungen</w:t>
      </w:r>
      <w:r w:rsidR="00622DEE">
        <w:t xml:space="preserve"> aber auch Herausforderungen, welche auszugsweise in dem folgenden Artikel vorgestellt werden</w:t>
      </w:r>
      <w:r w:rsidR="00B0731C">
        <w:t>.</w:t>
      </w:r>
    </w:p>
    <w:p w:rsidR="002068CE" w:rsidRDefault="002068CE" w:rsidP="002068CE">
      <w:pPr>
        <w:pStyle w:val="berschrift1"/>
      </w:pPr>
      <w:r w:rsidRPr="002068CE">
        <w:t>Einleitung</w:t>
      </w:r>
    </w:p>
    <w:p w:rsidR="002068CE" w:rsidRDefault="00AE0948" w:rsidP="002068CE">
      <w:pPr>
        <w:pStyle w:val="berschrift2"/>
      </w:pPr>
      <w:r>
        <w:t>Der globale Energiebedarf</w:t>
      </w:r>
    </w:p>
    <w:p w:rsidR="009C7987" w:rsidRPr="00277374" w:rsidRDefault="009C7987" w:rsidP="002A1708">
      <w:r w:rsidRPr="002A1708">
        <w:t xml:space="preserve">Der globale Energiebedarf hat sich in den vergangenen 50 Jahren mehr als </w:t>
      </w:r>
      <w:r w:rsidRPr="00A03BDA">
        <w:t>ver</w:t>
      </w:r>
      <w:r w:rsidRPr="00A03BDA">
        <w:softHyphen/>
        <w:t>drei</w:t>
      </w:r>
      <w:r w:rsidRPr="00A03BDA">
        <w:softHyphen/>
        <w:t>facht (</w:t>
      </w:r>
      <w:r w:rsidR="009D5C7F">
        <w:fldChar w:fldCharType="begin"/>
      </w:r>
      <w:r w:rsidR="00A96145">
        <w:instrText xml:space="preserve"> ADDIN ZOTERO_ITEM CSL_CITATION {"citationID":"k7T0cZcf","properties":{"formattedCitation":"{\\rtf (\\scaps BP\\scaps0{}, 2012; \\scaps IEA\\scaps0{}, 2012)}","plainCitation":"(BP, 2012; IEA, 2012)"},"citationItems":[{"id":103,"uris":["http://zotero.org/groups/74766/items/ZXEHU8KX"],"uri":["http://zotero.org/groups/74766/items/ZXEHU8KX"],"itemData":{"id":103,"type":"article","title":"BP Statistical Review of World Energy June 2012","publisher":"BP Petroleum","author":[{"family":"BP","given":""}],"issued":{"date-parts":[["2012"]]}},"label":"page"},{"id":102,"uris":["http://zotero.org/groups/74766/items/3IS5H2N4"],"uri":["http://zotero.org/groups/74766/items/3IS5H2N4"],"itemData":{"id":102,"type":"article","title":"Key World Energy Statistics 2012","publisher":"International Energy Agency","author":[{"family":"IEA","given":""}],"issued":{"date-parts":[["2012"]]}},"label":"page"}],"schema":"https://github.com/citation-style-language/schema/raw/master/csl-citation.json"} </w:instrText>
      </w:r>
      <w:r w:rsidR="009D5C7F">
        <w:fldChar w:fldCharType="separate"/>
      </w:r>
      <w:r w:rsidR="001F0DA8" w:rsidRPr="001F0DA8">
        <w:rPr>
          <w:rFonts w:cs="Times New Roman"/>
          <w:szCs w:val="24"/>
        </w:rPr>
        <w:t>(</w:t>
      </w:r>
      <w:r w:rsidR="001F0DA8" w:rsidRPr="001F0DA8">
        <w:rPr>
          <w:rFonts w:cs="Times New Roman"/>
          <w:smallCaps/>
          <w:szCs w:val="24"/>
        </w:rPr>
        <w:t>BP</w:t>
      </w:r>
      <w:r w:rsidR="001F0DA8" w:rsidRPr="001F0DA8">
        <w:rPr>
          <w:rFonts w:cs="Times New Roman"/>
          <w:szCs w:val="24"/>
        </w:rPr>
        <w:t xml:space="preserve">, 2012; </w:t>
      </w:r>
      <w:r w:rsidR="001F0DA8" w:rsidRPr="001F0DA8">
        <w:rPr>
          <w:rFonts w:cs="Times New Roman"/>
          <w:smallCaps/>
          <w:szCs w:val="24"/>
        </w:rPr>
        <w:t>IEA</w:t>
      </w:r>
      <w:r w:rsidR="001F0DA8" w:rsidRPr="001F0DA8">
        <w:rPr>
          <w:rFonts w:cs="Times New Roman"/>
          <w:szCs w:val="24"/>
        </w:rPr>
        <w:t>, 2012)</w:t>
      </w:r>
      <w:r w:rsidR="009D5C7F">
        <w:fldChar w:fldCharType="end"/>
      </w:r>
      <w:r w:rsidR="00A96145">
        <w:t xml:space="preserve"> </w:t>
      </w:r>
      <w:r w:rsidRPr="00A03BDA">
        <w:t>und wird gegenwärtig zu 84% aus fossilen Res</w:t>
      </w:r>
      <w:r w:rsidRPr="00A03BDA">
        <w:softHyphen/>
        <w:t xml:space="preserve">sourcen gedeckt </w:t>
      </w:r>
      <w:r w:rsidR="009D5C7F">
        <w:fldChar w:fldCharType="begin"/>
      </w:r>
      <w:r w:rsidR="005E105D">
        <w:instrText xml:space="preserve"> ADDIN ZOTERO_ITEM CSL_CITATION {"citationID":"1t9ns69kkk","properties":{"formattedCitation":"{\\rtf (\\scaps REN21\\scaps0{}, 2012)}","plainCitation":"(REN21, 2012)"},"citationItems":[{"id":104,"uris":["http://zotero.org/groups/74766/items/8S7BM5SC"],"uri":["http://zotero.org/groups/74766/items/8S7BM5SC"],"itemData":{"id":104,"type":"article","title":"Renewables 2012 Global Status Report","publisher":"Renewable Energy Policy Network for the 21st Century","author":[{"family":"REN21","given":""}],"issued":{"date-parts":[["2012"]]}}}],"schema":"https://github.com/citation-style-language/schema/raw/master/csl-citation.json"} </w:instrText>
      </w:r>
      <w:r w:rsidR="009D5C7F">
        <w:fldChar w:fldCharType="separate"/>
      </w:r>
      <w:r w:rsidR="001F0DA8" w:rsidRPr="001F0DA8">
        <w:rPr>
          <w:rFonts w:cs="Times New Roman"/>
          <w:szCs w:val="24"/>
        </w:rPr>
        <w:t>(</w:t>
      </w:r>
      <w:r w:rsidR="001F0DA8" w:rsidRPr="001F0DA8">
        <w:rPr>
          <w:rFonts w:cs="Times New Roman"/>
          <w:smallCaps/>
          <w:szCs w:val="24"/>
        </w:rPr>
        <w:t>REN21</w:t>
      </w:r>
      <w:r w:rsidR="001F0DA8" w:rsidRPr="001F0DA8">
        <w:rPr>
          <w:rFonts w:cs="Times New Roman"/>
          <w:szCs w:val="24"/>
        </w:rPr>
        <w:t>, 2012)</w:t>
      </w:r>
      <w:r w:rsidR="009D5C7F">
        <w:fldChar w:fldCharType="end"/>
      </w:r>
      <w:r w:rsidRPr="00A03BDA">
        <w:t xml:space="preserve"> darunter vor allem Kohle, Erdöl, Erdgas und Uran. Der Verbrauch der </w:t>
      </w:r>
      <w:r w:rsidRPr="00277374">
        <w:t>kohlenstoffhaltigen fossilen Ressourcen für die Energie</w:t>
      </w:r>
      <w:r w:rsidRPr="00277374">
        <w:softHyphen/>
        <w:t xml:space="preserve">versorgung verursacht drei Viertel der anthropogenen </w:t>
      </w:r>
      <w:proofErr w:type="spellStart"/>
      <w:r w:rsidRPr="00277374">
        <w:t>Treibhausgas</w:t>
      </w:r>
      <w:r w:rsidRPr="00277374">
        <w:softHyphen/>
        <w:t>emissionen</w:t>
      </w:r>
      <w:proofErr w:type="spellEnd"/>
      <w:r w:rsidRPr="00277374">
        <w:t xml:space="preserve"> weltweit </w:t>
      </w:r>
      <w:r w:rsidR="009D5C7F">
        <w:fldChar w:fldCharType="begin"/>
      </w:r>
      <w:r w:rsidR="00A03BDA">
        <w:instrText xml:space="preserve"> ADDIN ZOTERO_ITEM CSL_CITATION {"citationID":"fd4vj3hdl","properties":{"formattedCitation":"{\\rtf (\\scaps WRI\\scaps0{}, 2012)}","plainCitation":"(WRI, 2012)"},"citationItems":[{"id":105,"uris":["http://zotero.org/groups/74766/items/T7WCIWD3"],"uri":["http://zotero.org/groups/74766/items/T7WCIWD3"],"itemData":{"id":105,"type":"article","title":"Climate Analysis Indicators Tool (CAIT) version 9.0.","publisher":"World Resources Institute","author":[{"family":"WRI","given":""}],"issued":{"date-parts":[["2012"]]}}}],"schema":"https://github.com/citation-style-language/schema/raw/master/csl-citation.json"} </w:instrText>
      </w:r>
      <w:r w:rsidR="009D5C7F">
        <w:fldChar w:fldCharType="separate"/>
      </w:r>
      <w:r w:rsidR="001F0DA8" w:rsidRPr="001F0DA8">
        <w:rPr>
          <w:rFonts w:cs="Times New Roman"/>
          <w:szCs w:val="24"/>
        </w:rPr>
        <w:t>(</w:t>
      </w:r>
      <w:r w:rsidR="001F0DA8" w:rsidRPr="001F0DA8">
        <w:rPr>
          <w:rFonts w:cs="Times New Roman"/>
          <w:smallCaps/>
          <w:szCs w:val="24"/>
        </w:rPr>
        <w:t>WRI</w:t>
      </w:r>
      <w:r w:rsidR="001F0DA8" w:rsidRPr="001F0DA8">
        <w:rPr>
          <w:rFonts w:cs="Times New Roman"/>
          <w:szCs w:val="24"/>
        </w:rPr>
        <w:t>, 2012)</w:t>
      </w:r>
      <w:r w:rsidR="009D5C7F">
        <w:fldChar w:fldCharType="end"/>
      </w:r>
      <w:r w:rsidRPr="00277374">
        <w:t xml:space="preserve">, in Deutschland sind es über 83% </w:t>
      </w:r>
      <w:r w:rsidR="009D5C7F">
        <w:fldChar w:fldCharType="begin"/>
      </w:r>
      <w:r w:rsidR="00A03BDA">
        <w:instrText xml:space="preserve"> ADDIN ZOTERO_ITEM CSL_CITATION {"citationID":"o7p55gcuf","properties":{"formattedCitation":"{\\rtf (\\scaps UBA\\scaps0{}, 2012)}","plainCitation":"(UBA, 2012)"},"citationItems":[{"id":106,"uris":["http://zotero.org/groups/74766/items/ZKUKCVJD"],"uri":["http://zotero.org/groups/74766/items/ZKUKCVJD"],"itemData":{"id":106,"type":"article","title":"Nationale Trendtabellen für die deutsche Berichterstattung atmosphärischer Emissionen seit 1990","publisher":"Umweltbundesamt","author":[{"family":"UBA","given":""}],"issued":{"date-parts":[["2012"]]}}}],"schema":"https://github.com/citation-style-language/schema/raw/master/csl-citation.json"} </w:instrText>
      </w:r>
      <w:r w:rsidR="009D5C7F">
        <w:fldChar w:fldCharType="separate"/>
      </w:r>
      <w:r w:rsidR="001F0DA8" w:rsidRPr="001F0DA8">
        <w:rPr>
          <w:rFonts w:cs="Times New Roman"/>
          <w:szCs w:val="24"/>
        </w:rPr>
        <w:t>(</w:t>
      </w:r>
      <w:r w:rsidR="001F0DA8" w:rsidRPr="001F0DA8">
        <w:rPr>
          <w:rFonts w:cs="Times New Roman"/>
          <w:smallCaps/>
          <w:szCs w:val="24"/>
        </w:rPr>
        <w:t>UBA</w:t>
      </w:r>
      <w:r w:rsidR="001F0DA8" w:rsidRPr="001F0DA8">
        <w:rPr>
          <w:rFonts w:cs="Times New Roman"/>
          <w:szCs w:val="24"/>
        </w:rPr>
        <w:t>, 2012)</w:t>
      </w:r>
      <w:r w:rsidR="009D5C7F">
        <w:fldChar w:fldCharType="end"/>
      </w:r>
      <w:r w:rsidRPr="00277374">
        <w:t>. Damit gehen sowohl international als auch in Deutschland regionale und lokale Umweltbeeinträchtigungen einher, die bei Erschließung, Transport oder der Nachsorge der Lagerstätten entstehen. Da zunehmend unkonventionelle Lagerstätten erschlossen werden, steigen die Emissions-, Schadens- und Kostenrisiken künftig an.</w:t>
      </w:r>
    </w:p>
    <w:p w:rsidR="009C7987" w:rsidRPr="00277374" w:rsidRDefault="009C7987" w:rsidP="002A1708">
      <w:r w:rsidRPr="00277374">
        <w:t>Die weltweite Transformation des Energiesystems hin zu einer stärker auf Effizienz und erneuerbaren Energien basierenden Bereitstellung gilt daher als Schlüssel zur Einhal</w:t>
      </w:r>
      <w:r w:rsidRPr="00277374">
        <w:softHyphen/>
        <w:t>tung des 2°C Ziels</w:t>
      </w:r>
      <w:r w:rsidR="00BD6581">
        <w:t xml:space="preserve">. </w:t>
      </w:r>
      <w:r w:rsidRPr="00277374">
        <w:t>Deutschland und Europa wollen hier eine Vorreiterrolle einnehmen und fossile Ener</w:t>
      </w:r>
      <w:r w:rsidRPr="00277374">
        <w:softHyphen/>
        <w:t>gie</w:t>
      </w:r>
      <w:r w:rsidRPr="00277374">
        <w:softHyphen/>
        <w:t>träger bis 2050 weitgehend er</w:t>
      </w:r>
      <w:r w:rsidRPr="00277374">
        <w:softHyphen/>
        <w:t>setzen. Dieses Ziel ist klar untersetzt mit Etap</w:t>
      </w:r>
      <w:r w:rsidRPr="00277374">
        <w:softHyphen/>
        <w:t>pen</w:t>
      </w:r>
      <w:r w:rsidRPr="00277374">
        <w:softHyphen/>
        <w:t>zielen und einem Bündel an energie</w:t>
      </w:r>
      <w:r w:rsidRPr="00277374">
        <w:softHyphen/>
        <w:t>politischen Instru</w:t>
      </w:r>
      <w:r w:rsidRPr="00277374">
        <w:softHyphen/>
        <w:t xml:space="preserve">menten (4 mal 20 Ziel in EU; IKEP und deren Weiterentwicklung in Deutschland). </w:t>
      </w:r>
    </w:p>
    <w:p w:rsidR="009C7987" w:rsidRDefault="009C7987" w:rsidP="002A1708">
      <w:r w:rsidRPr="002A1708">
        <w:t>Während die Umsetzung in den einzelnen euro</w:t>
      </w:r>
      <w:r w:rsidRPr="002A1708">
        <w:softHyphen/>
        <w:t>päischen Staaten unterschiedlich konse</w:t>
      </w:r>
      <w:r w:rsidRPr="002A1708">
        <w:softHyphen/>
        <w:t>quent erfolgt, zeigen die erneuerbaren Energien in Deutschland ein rasches Wachs</w:t>
      </w:r>
      <w:r w:rsidRPr="002A1708">
        <w:softHyphen/>
        <w:t>tum: Ende 2011 wurde ein Achtel des deutschen Endenergieverbrauchs aus erneuer</w:t>
      </w:r>
      <w:r w:rsidRPr="002A1708">
        <w:softHyphen/>
        <w:t>baren Energien bereit</w:t>
      </w:r>
      <w:r w:rsidRPr="002A1708">
        <w:softHyphen/>
        <w:t xml:space="preserve">gestellt – doppelt so viel wie im Jahr 2004 </w:t>
      </w:r>
      <w:r w:rsidR="009D5C7F">
        <w:fldChar w:fldCharType="begin"/>
      </w:r>
      <w:r w:rsidR="00665C2E">
        <w:instrText xml:space="preserve"> ADDIN ZOTERO_ITEM CSL_CITATION {"citationID":"1gd54omcce","properties":{"formattedCitation":"{\\rtf (\\scaps BMU\\scaps0{}, 2012)}","plainCitation":"(BMU, 2012)"},"citationItems":[{"id":112,"uris":["http://zotero.org/groups/74766/items/MAQ8JJUI"],"uri":["http://zotero.org/groups/74766/items/MAQ8JJUI"],"itemData":{"id":112,"type":"article","title":"Entwicklung der erneuerbaren Energien in Deutschland im Jahr 2011 - Grafiken und Tabellen, Stand: Juli 2012 - unter Verwendung aktueller Daten der Arbeitsgruppe Erneuerbare Energien-Statistik (AGEE-Stat)","publisher":"Bundesministerium für Umwelt Naturschutz und Reaktorsicherheit","author":[{"family":"BMU","given":""}],"issued":{"date-parts":[["2012"]]}}}],"schema":"https://github.com/citation-style-language/schema/raw/master/csl-citation.json"} </w:instrText>
      </w:r>
      <w:r w:rsidR="009D5C7F">
        <w:fldChar w:fldCharType="separate"/>
      </w:r>
      <w:r w:rsidR="001F0DA8" w:rsidRPr="001F0DA8">
        <w:rPr>
          <w:rFonts w:cs="Times New Roman"/>
          <w:szCs w:val="24"/>
        </w:rPr>
        <w:t>(</w:t>
      </w:r>
      <w:r w:rsidR="001F0DA8" w:rsidRPr="001F0DA8">
        <w:rPr>
          <w:rFonts w:cs="Times New Roman"/>
          <w:smallCaps/>
          <w:szCs w:val="24"/>
        </w:rPr>
        <w:t>BMU</w:t>
      </w:r>
      <w:r w:rsidR="001F0DA8" w:rsidRPr="001F0DA8">
        <w:rPr>
          <w:rFonts w:cs="Times New Roman"/>
          <w:szCs w:val="24"/>
        </w:rPr>
        <w:t>, 2012)</w:t>
      </w:r>
      <w:r w:rsidR="009D5C7F">
        <w:fldChar w:fldCharType="end"/>
      </w:r>
      <w:r w:rsidRPr="002A1708">
        <w:t>. Damit verbunden war eine Einspa</w:t>
      </w:r>
      <w:r w:rsidRPr="002A1708">
        <w:softHyphen/>
        <w:t>rung von über 130 Mio. Tonnen Treibhausgasen (CO2-Äquivalenten)</w:t>
      </w:r>
      <w:r w:rsidRPr="00277374">
        <w:rPr>
          <w:rFonts w:ascii="Verdana" w:hAnsi="Verdana"/>
        </w:rPr>
        <w:t xml:space="preserve"> </w:t>
      </w:r>
      <w:r w:rsidRPr="002A1708">
        <w:t>allein im Jahr 2011. Über 50 % der erneuer</w:t>
      </w:r>
      <w:r w:rsidRPr="002A1708">
        <w:softHyphen/>
        <w:t xml:space="preserve">baren Energien Deutschlands werden auf Basis von biogenen </w:t>
      </w:r>
      <w:r w:rsidR="0047593E">
        <w:t>Brennstoffen</w:t>
      </w:r>
      <w:r w:rsidR="008E2D4C">
        <w:t>,</w:t>
      </w:r>
      <w:r w:rsidR="0047593E">
        <w:t xml:space="preserve"> </w:t>
      </w:r>
      <w:r w:rsidRPr="002A1708">
        <w:t xml:space="preserve"> v.</w:t>
      </w:r>
      <w:r w:rsidR="008E2D4C">
        <w:t> </w:t>
      </w:r>
      <w:r w:rsidRPr="002A1708">
        <w:t xml:space="preserve">a. </w:t>
      </w:r>
      <w:r w:rsidR="0047593E">
        <w:t>Festbrenn</w:t>
      </w:r>
      <w:r w:rsidR="0047593E">
        <w:softHyphen/>
        <w:t>stoffe</w:t>
      </w:r>
      <w:r w:rsidR="008E2D4C">
        <w:t>n</w:t>
      </w:r>
      <w:r w:rsidR="0047593E">
        <w:t xml:space="preserve"> aus</w:t>
      </w:r>
      <w:r w:rsidR="0047593E" w:rsidRPr="0047593E">
        <w:t xml:space="preserve"> </w:t>
      </w:r>
      <w:r w:rsidRPr="002A1708">
        <w:t>Holz</w:t>
      </w:r>
      <w:r w:rsidR="008E2D4C">
        <w:t>,</w:t>
      </w:r>
      <w:r w:rsidRPr="002A1708">
        <w:t xml:space="preserve"> bereit</w:t>
      </w:r>
      <w:r w:rsidRPr="002A1708">
        <w:softHyphen/>
        <w:t>gestellt</w:t>
      </w:r>
      <w:r w:rsidR="00B1282E">
        <w:t xml:space="preserve"> (</w:t>
      </w:r>
      <w:fldSimple w:instr=" REF _Ref391292633 \h  \* MERGEFORMAT ">
        <w:r w:rsidR="000462A7">
          <w:t xml:space="preserve">Abbildung </w:t>
        </w:r>
        <w:r w:rsidR="000462A7">
          <w:rPr>
            <w:noProof/>
          </w:rPr>
          <w:t>1</w:t>
        </w:r>
      </w:fldSimple>
      <w:r w:rsidR="002A1708">
        <w:t>)</w:t>
      </w:r>
      <w:r w:rsidRPr="00277374">
        <w:rPr>
          <w:rFonts w:ascii="Verdana" w:hAnsi="Verdana"/>
        </w:rPr>
        <w:t xml:space="preserve">. </w:t>
      </w:r>
      <w:r w:rsidRPr="002A1708">
        <w:t xml:space="preserve">Windenergie </w:t>
      </w:r>
      <w:r w:rsidRPr="002A1708">
        <w:lastRenderedPageBreak/>
        <w:t>zeigt aktuell das größte Wachstum und ist wich</w:t>
      </w:r>
      <w:r w:rsidRPr="002A1708">
        <w:softHyphen/>
        <w:t>tigster erneuerbarer Stromlieferant. Bis 2020 soll sich der Ausbau der Erneuer</w:t>
      </w:r>
      <w:r w:rsidRPr="002A1708">
        <w:softHyphen/>
        <w:t>baren Energien noch einmal nahezu verdoppeln</w:t>
      </w:r>
      <w:r w:rsidR="002F6373">
        <w:t xml:space="preserve"> </w:t>
      </w:r>
      <w:r w:rsidR="009D5C7F">
        <w:fldChar w:fldCharType="begin"/>
      </w:r>
      <w:r w:rsidR="002F6373">
        <w:instrText xml:space="preserve"> ADDIN ZOTERO_ITEM CSL_CITATION {"citationID":"1u9ktcsugh","properties":{"formattedCitation":"{\\rtf (\\scaps BMU\\scaps0{}, 2010)}","plainCitation":"(BMU, 2010)"},"citationItems":[{"id":107,"uris":["http://zotero.org/groups/74766/items/QEAEG3D8"],"uri":["http://zotero.org/groups/74766/items/QEAEG3D8"],"itemData":{"id":107,"type":"article","title":"Nationaler Aktionsplan für erneuerbare Energie gemäß der Richtlinie 2009/28/EG zur Förderung der Nutzung von Energie aus erneuerbaren Quellen (NREAP)","publisher":"Bundesministerium für Umwelt Naturschutz und Reaktorsicherheit","author":[{"family":"BMU","given":""}],"issued":{"date-parts":[["2010"]]}}}],"schema":"https://github.com/citation-style-language/schema/raw/master/csl-citation.json"} </w:instrText>
      </w:r>
      <w:r w:rsidR="009D5C7F">
        <w:fldChar w:fldCharType="separate"/>
      </w:r>
      <w:r w:rsidR="001F0DA8" w:rsidRPr="001F0DA8">
        <w:rPr>
          <w:rFonts w:cs="Times New Roman"/>
          <w:szCs w:val="24"/>
        </w:rPr>
        <w:t>(</w:t>
      </w:r>
      <w:r w:rsidR="001F0DA8" w:rsidRPr="001F0DA8">
        <w:rPr>
          <w:rFonts w:cs="Times New Roman"/>
          <w:smallCaps/>
          <w:szCs w:val="24"/>
        </w:rPr>
        <w:t>BMU</w:t>
      </w:r>
      <w:r w:rsidR="001F0DA8" w:rsidRPr="001F0DA8">
        <w:rPr>
          <w:rFonts w:cs="Times New Roman"/>
          <w:szCs w:val="24"/>
        </w:rPr>
        <w:t>, 2010)</w:t>
      </w:r>
      <w:r w:rsidR="009D5C7F">
        <w:fldChar w:fldCharType="end"/>
      </w:r>
      <w:r w:rsidRPr="002A1708">
        <w:t>. Dabei werden Bio</w:t>
      </w:r>
      <w:r w:rsidRPr="002A1708">
        <w:softHyphen/>
        <w:t xml:space="preserve">masse und Wind wohl auch künftig die wesentlichen Quellen sein. Weiterhin gewinnt die bedarfsgerechte </w:t>
      </w:r>
      <w:proofErr w:type="spellStart"/>
      <w:r w:rsidRPr="002A1708">
        <w:t>Energie</w:t>
      </w:r>
      <w:r w:rsidRPr="002A1708">
        <w:softHyphen/>
        <w:t>be</w:t>
      </w:r>
      <w:r w:rsidRPr="002A1708">
        <w:softHyphen/>
        <w:t>reit</w:t>
      </w:r>
      <w:r w:rsidRPr="002A1708">
        <w:softHyphen/>
        <w:t>stellung</w:t>
      </w:r>
      <w:proofErr w:type="spellEnd"/>
      <w:r w:rsidRPr="002A1708">
        <w:t xml:space="preserve"> mit Speichern und Bioenergieträgern zunehmend an Bedeutung.</w:t>
      </w:r>
    </w:p>
    <w:p w:rsidR="008E2D4C" w:rsidRPr="00960253" w:rsidRDefault="004D7B12" w:rsidP="009C7987">
      <w:pPr>
        <w:spacing w:line="360" w:lineRule="auto"/>
      </w:pPr>
      <w:r>
        <w:rPr>
          <w:noProof/>
          <w:lang w:eastAsia="de-DE"/>
        </w:rPr>
        <w:drawing>
          <wp:inline distT="0" distB="0" distL="0" distR="0">
            <wp:extent cx="5600700" cy="3155950"/>
            <wp:effectExtent l="0" t="0" r="0" b="6350"/>
            <wp:docPr id="10" name="Bild 2" descr="Struktur der Endenergiebereitstellung aus erneuerbaren Energien in Deutschland im Jahr 2011"/>
            <wp:cNvGraphicFramePr/>
            <a:graphic xmlns:a="http://schemas.openxmlformats.org/drawingml/2006/main">
              <a:graphicData uri="http://schemas.openxmlformats.org/drawingml/2006/picture">
                <pic:pic xmlns:pic="http://schemas.openxmlformats.org/drawingml/2006/picture">
                  <pic:nvPicPr>
                    <pic:cNvPr id="10" name="Bild 2" descr="Struktur der Endenergiebereitstellung aus erneuerbaren Energien in Deutschland im Jahr 2011"/>
                    <pic:cNvPicPr/>
                  </pic:nvPicPr>
                  <pic:blipFill rotWithShape="1">
                    <a:blip r:embed="rId8" cstate="print"/>
                    <a:srcRect l="777" t="11908" r="1318" b="1051"/>
                    <a:stretch/>
                  </pic:blipFill>
                  <pic:spPr bwMode="auto">
                    <a:xfrm>
                      <a:off x="0" y="0"/>
                      <a:ext cx="5602662" cy="31570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C7987" w:rsidRPr="00277374" w:rsidRDefault="00B1282E" w:rsidP="002A1708">
      <w:pPr>
        <w:pStyle w:val="Beschriftung"/>
        <w:rPr>
          <w:rFonts w:ascii="Verdana" w:hAnsi="Verdana"/>
        </w:rPr>
      </w:pPr>
      <w:bookmarkStart w:id="0" w:name="_Ref391292633"/>
      <w:r>
        <w:t xml:space="preserve">Abbildung </w:t>
      </w:r>
      <w:fldSimple w:instr=" SEQ Abbildung \* ARABIC ">
        <w:r w:rsidR="000462A7">
          <w:rPr>
            <w:noProof/>
          </w:rPr>
          <w:t>1</w:t>
        </w:r>
      </w:fldSimple>
      <w:bookmarkEnd w:id="0"/>
      <w:r>
        <w:t xml:space="preserve">: </w:t>
      </w:r>
      <w:r w:rsidRPr="00B1282E">
        <w:t>Struktur der Endenergiebereitstellung aus erneuerbaren Energien in Deutschland im Jahr 201</w:t>
      </w:r>
      <w:r w:rsidR="004D7B12">
        <w:t>1</w:t>
      </w:r>
      <w:r>
        <w:t xml:space="preserve"> </w:t>
      </w:r>
      <w:r w:rsidR="009D5C7F">
        <w:fldChar w:fldCharType="begin"/>
      </w:r>
      <w:r w:rsidR="00665C2E">
        <w:instrText xml:space="preserve"> ADDIN ZOTERO_ITEM CSL_CITATION {"citationID":"1hi6ck0hli","properties":{"formattedCitation":"{\\rtf (\\scaps BMU\\scaps0{}, 2012)}","plainCitation":"(BMU, 2012)"},"citationItems":[{"id":112,"uris":["http://zotero.org/groups/74766/items/MAQ8JJUI"],"uri":["http://zotero.org/groups/74766/items/MAQ8JJUI"],"itemData":{"id":112,"type":"article","title":"Entwicklung der erneuerbaren Energien in Deutschland im Jahr 2011 - Grafiken und Tabellen, Stand: Juli 2012 - unter Verwendung aktueller Daten der Arbeitsgruppe Erneuerbare Energien-Statistik (AGEE-Stat)","publisher":"Bundesministerium für Umwelt Naturschutz und Reaktorsicherheit","author":[{"family":"BMU","given":""}],"issued":{"date-parts":[["2012"]]}}}],"schema":"https://github.com/citation-style-language/schema/raw/master/csl-citation.json"} </w:instrText>
      </w:r>
      <w:r w:rsidR="009D5C7F">
        <w:fldChar w:fldCharType="separate"/>
      </w:r>
      <w:r w:rsidR="001F0DA8" w:rsidRPr="001F0DA8">
        <w:rPr>
          <w:rFonts w:cs="Times New Roman"/>
          <w:szCs w:val="24"/>
        </w:rPr>
        <w:t>(</w:t>
      </w:r>
      <w:r w:rsidR="001F0DA8" w:rsidRPr="001F0DA8">
        <w:rPr>
          <w:rFonts w:cs="Times New Roman"/>
          <w:smallCaps/>
          <w:szCs w:val="24"/>
        </w:rPr>
        <w:t>BMU</w:t>
      </w:r>
      <w:r w:rsidR="001F0DA8" w:rsidRPr="001F0DA8">
        <w:rPr>
          <w:rFonts w:cs="Times New Roman"/>
          <w:szCs w:val="24"/>
        </w:rPr>
        <w:t>, 2012)</w:t>
      </w:r>
      <w:r w:rsidR="009D5C7F">
        <w:fldChar w:fldCharType="end"/>
      </w:r>
    </w:p>
    <w:p w:rsidR="00AE0948" w:rsidRDefault="00AE0948" w:rsidP="00AE0948">
      <w:pPr>
        <w:pStyle w:val="berschrift2"/>
      </w:pPr>
      <w:r w:rsidRPr="002068CE">
        <w:t>Bioenergie in Deutschland</w:t>
      </w:r>
    </w:p>
    <w:p w:rsidR="00F15728" w:rsidRPr="00F15728" w:rsidRDefault="00E657DE" w:rsidP="0047593E">
      <w:r>
        <w:t xml:space="preserve">Gegenwärtig </w:t>
      </w:r>
      <w:r w:rsidR="0047593E">
        <w:t>(201</w:t>
      </w:r>
      <w:r w:rsidR="004D7B12">
        <w:t>1</w:t>
      </w:r>
      <w:r w:rsidR="0047593E">
        <w:t xml:space="preserve">) </w:t>
      </w:r>
      <w:r>
        <w:t xml:space="preserve">basieren in Deutschland </w:t>
      </w:r>
      <w:r w:rsidR="004D7B12">
        <w:t>etwa 67</w:t>
      </w:r>
      <w:r w:rsidRPr="004609EC">
        <w:t xml:space="preserve">% </w:t>
      </w:r>
      <w:r w:rsidR="009D5C7F">
        <w:fldChar w:fldCharType="begin"/>
      </w:r>
      <w:r w:rsidR="00665C2E">
        <w:instrText xml:space="preserve"> ADDIN ZOTERO_ITEM CSL_CITATION {"citationID":"2gg22gvl86","properties":{"formattedCitation":"{\\rtf (\\scaps BMU\\scaps0{}, 2012)}","plainCitation":"(BMU, 2012)"},"citationItems":[{"id":112,"uris":["http://zotero.org/groups/74766/items/MAQ8JJUI"],"uri":["http://zotero.org/groups/74766/items/MAQ8JJUI"],"itemData":{"id":112,"type":"article","title":"Entwicklung der erneuerbaren Energien in Deutschland im Jahr 2011 - Grafiken und Tabellen, Stand: Juli 2012 - unter Verwendung aktueller Daten der Arbeitsgruppe Erneuerbare Energien-Statistik (AGEE-Stat)","publisher":"Bundesministerium für Umwelt Naturschutz und Reaktorsicherheit","author":[{"family":"BMU","given":""}],"issued":{"date-parts":[["2012"]]}}}],"schema":"https://github.com/citation-style-language/schema/raw/master/csl-citation.json"} </w:instrText>
      </w:r>
      <w:r w:rsidR="009D5C7F">
        <w:fldChar w:fldCharType="separate"/>
      </w:r>
      <w:r w:rsidR="001F0DA8" w:rsidRPr="001F0DA8">
        <w:rPr>
          <w:rFonts w:cs="Times New Roman"/>
          <w:szCs w:val="24"/>
        </w:rPr>
        <w:t>(</w:t>
      </w:r>
      <w:r w:rsidR="001F0DA8" w:rsidRPr="001F0DA8">
        <w:rPr>
          <w:rFonts w:cs="Times New Roman"/>
          <w:smallCaps/>
          <w:szCs w:val="24"/>
        </w:rPr>
        <w:t>BMU</w:t>
      </w:r>
      <w:r w:rsidR="001F0DA8" w:rsidRPr="001F0DA8">
        <w:rPr>
          <w:rFonts w:cs="Times New Roman"/>
          <w:szCs w:val="24"/>
        </w:rPr>
        <w:t>, 2012)</w:t>
      </w:r>
      <w:r w:rsidR="009D5C7F">
        <w:fldChar w:fldCharType="end"/>
      </w:r>
      <w:r>
        <w:t xml:space="preserve"> </w:t>
      </w:r>
      <w:r w:rsidRPr="004609EC">
        <w:t>der</w:t>
      </w:r>
      <w:r>
        <w:t xml:space="preserve"> erneuerbaren Energien auf Biomasse </w:t>
      </w:r>
      <w:r w:rsidR="00CA023D">
        <w:t>(</w:t>
      </w:r>
      <w:r w:rsidR="009D5C7F">
        <w:fldChar w:fldCharType="begin"/>
      </w:r>
      <w:r w:rsidR="00CA023D">
        <w:instrText xml:space="preserve"> REF _Ref391292633 \h </w:instrText>
      </w:r>
      <w:r w:rsidR="009D5C7F">
        <w:fldChar w:fldCharType="separate"/>
      </w:r>
      <w:r w:rsidR="000462A7">
        <w:t xml:space="preserve">Abbildung </w:t>
      </w:r>
      <w:r w:rsidR="000462A7">
        <w:rPr>
          <w:noProof/>
        </w:rPr>
        <w:t>1</w:t>
      </w:r>
      <w:r w:rsidR="009D5C7F">
        <w:fldChar w:fldCharType="end"/>
      </w:r>
      <w:r w:rsidR="00CA023D">
        <w:t>)</w:t>
      </w:r>
      <w:r>
        <w:t>.</w:t>
      </w:r>
    </w:p>
    <w:p w:rsidR="002068CE" w:rsidRPr="002068CE" w:rsidRDefault="005675F9" w:rsidP="002A1708">
      <w:pPr>
        <w:spacing w:after="120" w:line="20" w:lineRule="atLeast"/>
      </w:pPr>
      <w:r>
        <w:t xml:space="preserve">Traditionell dominiert hierbei </w:t>
      </w:r>
      <w:r w:rsidR="00A443CB">
        <w:t xml:space="preserve">die </w:t>
      </w:r>
      <w:r>
        <w:t>Bioenergie in der erneuerbaren Wärmebereitstellung. Exklusiv, neben der Elektromobilität</w:t>
      </w:r>
      <w:r w:rsidR="00A443CB">
        <w:t xml:space="preserve"> im Personennahverkehr</w:t>
      </w:r>
      <w:r>
        <w:t xml:space="preserve">, bietet Bioenergie kurzfristig die Möglichkeit, einen </w:t>
      </w:r>
      <w:r w:rsidR="00A443CB">
        <w:t xml:space="preserve">wichtigen Beitrag </w:t>
      </w:r>
      <w:r>
        <w:t xml:space="preserve">im Verkehrssektor zu leisten. </w:t>
      </w:r>
    </w:p>
    <w:p w:rsidR="00E657DE" w:rsidRDefault="00E657DE" w:rsidP="00CA023D">
      <w:r w:rsidRPr="00CA023D">
        <w:t xml:space="preserve">In </w:t>
      </w:r>
      <w:r w:rsidR="009D5C7F">
        <w:fldChar w:fldCharType="begin"/>
      </w:r>
      <w:r w:rsidR="002A1708">
        <w:instrText xml:space="preserve"> REF _Ref391297637 \h </w:instrText>
      </w:r>
      <w:r w:rsidR="009D5C7F">
        <w:fldChar w:fldCharType="separate"/>
      </w:r>
      <w:r w:rsidR="000462A7">
        <w:t xml:space="preserve">Abbildung </w:t>
      </w:r>
      <w:r w:rsidR="000462A7">
        <w:rPr>
          <w:noProof/>
        </w:rPr>
        <w:t>2</w:t>
      </w:r>
      <w:r w:rsidR="009D5C7F">
        <w:fldChar w:fldCharType="end"/>
      </w:r>
      <w:r w:rsidRPr="00CA023D">
        <w:t xml:space="preserve"> ist der zeitliche Verlauf des Primärenergieverbrauches an Biomasse in Deutschland seit 1990 dargestellt mit deutlichem, kontinuierlichem Anstieg seit der Jahrtausendwende bis auf über 1.000PJ. </w:t>
      </w:r>
      <w:r w:rsidR="00665C38" w:rsidRPr="00665C2E">
        <w:t xml:space="preserve">Derzeit werden auf 2,1 Mio. ha Ackerflächen Energiepflanzen angebaut </w:t>
      </w:r>
      <w:r w:rsidR="009D5C7F">
        <w:fldChar w:fldCharType="begin"/>
      </w:r>
      <w:r w:rsidR="00D3735D">
        <w:instrText xml:space="preserve"> ADDIN ZOTERO_ITEM CSL_CITATION {"citationID":"tc65narqi","properties":{"formattedCitation":"{\\rtf (\\scaps FNR\\scaps0{}, 2012)}","plainCitation":"(FNR, 2012)"},"citationItems":[{"id":108,"uris":["http://zotero.org/groups/74766/items/H6GTPHUE"],"uri":["http://zotero.org/groups/74766/items/H6GTPHUE"],"itemData":{"id":108,"type":"article","title":"Jahresbericht Fachagentur Nachwachsende Rohstoffe e.V. 2011/2012","publisher":"Fachagentur Nachwachsende Rohstoffe e.V.","author":[{"family":"FNR","given":""}],"issued":{"date-parts":[["2012"]]}}}],"schema":"https://github.com/citation-style-language/schema/raw/master/csl-citation.json"} </w:instrText>
      </w:r>
      <w:r w:rsidR="009D5C7F">
        <w:fldChar w:fldCharType="separate"/>
      </w:r>
      <w:r w:rsidR="001F0DA8" w:rsidRPr="001F0DA8">
        <w:rPr>
          <w:rFonts w:cs="Times New Roman"/>
          <w:szCs w:val="24"/>
        </w:rPr>
        <w:t>(</w:t>
      </w:r>
      <w:r w:rsidR="001F0DA8" w:rsidRPr="001F0DA8">
        <w:rPr>
          <w:rFonts w:cs="Times New Roman"/>
          <w:smallCaps/>
          <w:szCs w:val="24"/>
        </w:rPr>
        <w:t>FNR</w:t>
      </w:r>
      <w:r w:rsidR="001F0DA8" w:rsidRPr="001F0DA8">
        <w:rPr>
          <w:rFonts w:cs="Times New Roman"/>
          <w:szCs w:val="24"/>
        </w:rPr>
        <w:t>, 2012)</w:t>
      </w:r>
      <w:r w:rsidR="009D5C7F">
        <w:fldChar w:fldCharType="end"/>
      </w:r>
      <w:r w:rsidR="00665C38" w:rsidRPr="00665C2E">
        <w:t xml:space="preserve">. </w:t>
      </w:r>
      <w:r w:rsidRPr="00CA023D">
        <w:t>Stellt</w:t>
      </w:r>
      <w:r>
        <w:t xml:space="preserve"> man demgegenüber die verfügbaren Potenziale verschiedener Biomassen (inklusive Importen) und deren Bandbreiten gegenüber, wird deutlich, dass für Deutschland auch zukünftig noch Ausbaupotenziale zur energetischen Biomassenutzung vorhanden sind. Die Steigerung der Effizienz der Nutzung der Biomasse wird, je mehr die Potenziale ausgeschöpft werden, zunehmend relevant.</w:t>
      </w:r>
    </w:p>
    <w:p w:rsidR="00E657DE" w:rsidRDefault="00E657DE" w:rsidP="00E657DE">
      <w:pPr>
        <w:keepNext/>
      </w:pPr>
      <w:r w:rsidRPr="00E361FA">
        <w:rPr>
          <w:noProof/>
          <w:lang w:eastAsia="de-DE"/>
        </w:rPr>
        <w:lastRenderedPageBreak/>
        <w:drawing>
          <wp:inline distT="0" distB="0" distL="0" distR="0">
            <wp:extent cx="5703277" cy="3234770"/>
            <wp:effectExtent l="0" t="0" r="0" b="381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018"/>
                    <a:stretch/>
                  </pic:blipFill>
                  <pic:spPr bwMode="auto">
                    <a:xfrm>
                      <a:off x="0" y="0"/>
                      <a:ext cx="5702117" cy="323411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657DE" w:rsidRDefault="00E657DE" w:rsidP="00E657DE">
      <w:pPr>
        <w:pStyle w:val="Beschriftung"/>
      </w:pPr>
      <w:bookmarkStart w:id="1" w:name="_Ref391297637"/>
      <w:r>
        <w:t xml:space="preserve">Abbildung </w:t>
      </w:r>
      <w:fldSimple w:instr=" SEQ Abbildung \* ARABIC ">
        <w:r w:rsidR="000462A7">
          <w:rPr>
            <w:noProof/>
          </w:rPr>
          <w:t>2</w:t>
        </w:r>
      </w:fldSimple>
      <w:bookmarkEnd w:id="1"/>
      <w:r>
        <w:t xml:space="preserve">: Gegenüberstellung der Entwicklung der Biomassenutzung und Verfügbarkeit zukünftiger Biomassepotenziale (jeweils PJ; 1PJ entspricht ca. 278 Mio. kWh)) in Deutschland (eigene Darstellung, </w:t>
      </w:r>
      <w:r w:rsidRPr="00E361FA">
        <w:t>Quellen: Nutzung nach (AGEE-</w:t>
      </w:r>
      <w:proofErr w:type="spellStart"/>
      <w:r w:rsidRPr="00E361FA">
        <w:t>Stat</w:t>
      </w:r>
      <w:proofErr w:type="spellEnd"/>
      <w:r w:rsidRPr="00E361FA">
        <w:t xml:space="preserve"> (Hrsg.), 2013) (P</w:t>
      </w:r>
      <w:r>
        <w:t>rimärenergieverbrauch</w:t>
      </w:r>
      <w:r w:rsidRPr="00E361FA">
        <w:t xml:space="preserve"> bere</w:t>
      </w:r>
      <w:r>
        <w:t>chnet nach Wirkungsgradmethode);</w:t>
      </w:r>
      <w:r w:rsidRPr="00E361FA">
        <w:t xml:space="preserve"> Potenziale nach (BMVBS (Hrsg.), 2010) (Energiepflanzen, Exkremente), (Zeller u. a., 2011) (Stroh), </w:t>
      </w:r>
      <w:proofErr w:type="spellStart"/>
      <w:r w:rsidRPr="00E361FA">
        <w:t>Destatis</w:t>
      </w:r>
      <w:proofErr w:type="spellEnd"/>
      <w:r w:rsidRPr="00E361FA">
        <w:t xml:space="preserve"> (Außenhandelsstatistik 2011), DBFZ 2013 (Bio- und Grünabfälle, industrielle Reststoff</w:t>
      </w:r>
      <w:r w:rsidR="00665C2E">
        <w:t>e, unveröffentlicht) (Hinweis: f</w:t>
      </w:r>
      <w:r w:rsidRPr="00E361FA">
        <w:t>ehlende Jahre wurden durch Fortschreibung der Einzelergebnisse ermittelt)</w:t>
      </w:r>
      <w:r>
        <w:t>)</w:t>
      </w:r>
    </w:p>
    <w:p w:rsidR="00E657DE" w:rsidRPr="00891100" w:rsidRDefault="00E657DE" w:rsidP="00891100"/>
    <w:p w:rsidR="009A0EF9" w:rsidRDefault="009A0EF9" w:rsidP="002068CE">
      <w:pPr>
        <w:pStyle w:val="berschrift2"/>
      </w:pPr>
      <w:r w:rsidRPr="002068CE">
        <w:t>Bioenergie: Das Multitalent</w:t>
      </w:r>
    </w:p>
    <w:p w:rsidR="00AE0948" w:rsidRDefault="00AE0948" w:rsidP="000462A7">
      <w:r>
        <w:t xml:space="preserve">Die Bereitstellung von Bioenergie erfolgt durch eine mehrstufige Bereitstellungskette, die mit der Produktion der Energiepflanzen bzw. der Verfügbarmachung von Rückständen, Nebenprodukten oder Abfällen beginnt und über verschiedene Aufbereitungs-, Lagerungs- und Transportschritte sowie ggf. weitere technische Umwandlungsprozesse zur Bereitstellung eines Sekundärenergieträgers führt, durch dessen Verbrennung dann die letztlich gewollte End- bzw. Nutzenergie bereitgestellt werden kann (siehe </w:t>
      </w:r>
      <w:fldSimple w:instr=" REF _Ref391294593 \h  \* MERGEFORMAT ">
        <w:r w:rsidR="000462A7">
          <w:t xml:space="preserve">Abbildung </w:t>
        </w:r>
        <w:r w:rsidR="000462A7">
          <w:rPr>
            <w:noProof/>
          </w:rPr>
          <w:t>3</w:t>
        </w:r>
      </w:fldSimple>
      <w:r w:rsidR="00CA023D">
        <w:t>).</w:t>
      </w:r>
    </w:p>
    <w:p w:rsidR="00CA023D" w:rsidRDefault="00AE0948" w:rsidP="00CA023D">
      <w:pPr>
        <w:pStyle w:val="Textkrper"/>
        <w:keepNext/>
        <w:jc w:val="left"/>
      </w:pPr>
      <w:r>
        <w:rPr>
          <w:noProof/>
        </w:rPr>
        <w:lastRenderedPageBreak/>
        <w:drawing>
          <wp:inline distT="0" distB="0" distL="0" distR="0">
            <wp:extent cx="4657725" cy="3381375"/>
            <wp:effectExtent l="0" t="0" r="9525" b="9525"/>
            <wp:docPr id="12" name="Grafik 12" descr="Konversionspf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versionspfade"/>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7725" cy="3381375"/>
                    </a:xfrm>
                    <a:prstGeom prst="rect">
                      <a:avLst/>
                    </a:prstGeom>
                    <a:noFill/>
                    <a:ln>
                      <a:noFill/>
                    </a:ln>
                  </pic:spPr>
                </pic:pic>
              </a:graphicData>
            </a:graphic>
          </wp:inline>
        </w:drawing>
      </w:r>
    </w:p>
    <w:p w:rsidR="00AE0948" w:rsidRDefault="00CA023D" w:rsidP="00CA023D">
      <w:pPr>
        <w:pStyle w:val="Beschriftung"/>
      </w:pPr>
      <w:bookmarkStart w:id="2" w:name="_Ref391294593"/>
      <w:r>
        <w:t xml:space="preserve">Abbildung </w:t>
      </w:r>
      <w:fldSimple w:instr=" SEQ Abbildung \* ARABIC ">
        <w:r w:rsidR="000462A7">
          <w:rPr>
            <w:noProof/>
          </w:rPr>
          <w:t>3</w:t>
        </w:r>
      </w:fldSimple>
      <w:bookmarkEnd w:id="2"/>
      <w:r>
        <w:t xml:space="preserve">: Übersicht </w:t>
      </w:r>
      <w:r w:rsidRPr="00CA023D">
        <w:t>über die möglichen Nutzungspfade von Biomasse</w:t>
      </w:r>
      <w:r>
        <w:t xml:space="preserve"> (DBFZ nach </w:t>
      </w:r>
      <w:r w:rsidR="009D5C7F">
        <w:fldChar w:fldCharType="begin"/>
      </w:r>
      <w:r>
        <w:instrText xml:space="preserve"> ADDIN ZOTERO_ITEM CSL_CITATION {"citationID":"2kkt3umv2","properties":{"formattedCitation":"{\\rtf (\\scaps Kaltschmitt \\scaps0{}u. a.\\scaps{}\\scaps0{}, 2009)}","plainCitation":"(Kaltschmitt u. a., 2009)"},"citationItems":[{"id":3343,"uris":["http://zotero.org/groups/11922/items/5FM2P9TT"],"uri":["http://zotero.org/groups/11922/items/5FM2P9TT"],"itemData":{"id":3343,"type":"book","title":"Energie aus Biomasse: Grundlagen, Techniken und Verfahren","publisher":"Springer","number-of-pages":"1032","edition":"2., Corrected Aufl. 2009. 2., korr. Nachdruck 2009","source":"Amazon.com","ISBN":"3540850945","shortTitle":"Energie aus Biomasse","author":[{"family":"Kaltschmitt","given":"Martin"},{"family":"Hartmann","given":"Hans"},{"family":"Hofbauer","given":"Hermann"}],"issued":{"date-parts":[["2009",6,25]]}}}],"schema":"https://github.com/citation-style-language/schema/raw/master/csl-citation.json"} </w:instrText>
      </w:r>
      <w:r w:rsidR="009D5C7F">
        <w:fldChar w:fldCharType="separate"/>
      </w:r>
      <w:r w:rsidR="001F0DA8" w:rsidRPr="001F0DA8">
        <w:rPr>
          <w:rFonts w:cs="Times New Roman"/>
          <w:szCs w:val="24"/>
        </w:rPr>
        <w:t>(</w:t>
      </w:r>
      <w:r w:rsidR="001F0DA8" w:rsidRPr="001F0DA8">
        <w:rPr>
          <w:rFonts w:cs="Times New Roman"/>
          <w:smallCaps/>
          <w:szCs w:val="24"/>
        </w:rPr>
        <w:t xml:space="preserve">Kaltschmitt </w:t>
      </w:r>
      <w:r w:rsidR="001F0DA8" w:rsidRPr="001F0DA8">
        <w:rPr>
          <w:rFonts w:cs="Times New Roman"/>
          <w:szCs w:val="24"/>
        </w:rPr>
        <w:t>u. a., 2009)</w:t>
      </w:r>
      <w:r w:rsidR="009D5C7F">
        <w:fldChar w:fldCharType="end"/>
      </w:r>
      <w:r>
        <w:t>)</w:t>
      </w:r>
    </w:p>
    <w:p w:rsidR="00AE0948" w:rsidRPr="00CA023D" w:rsidRDefault="00AE0948" w:rsidP="000462A7">
      <w:r>
        <w:t xml:space="preserve">Die Umwandlung der Biomasse in feste, flüssige oder gasförmige Sekundärenergieträger mit definierten verbrennungstechnischen Eigenschaften </w:t>
      </w:r>
      <w:r w:rsidR="00120F09">
        <w:t>umfasst</w:t>
      </w:r>
      <w:r w:rsidR="00CA023D">
        <w:t xml:space="preserve"> (vgl. </w:t>
      </w:r>
      <w:r w:rsidR="009D5C7F" w:rsidRPr="00CA023D">
        <w:fldChar w:fldCharType="begin"/>
      </w:r>
      <w:r w:rsidR="00A333A2">
        <w:instrText xml:space="preserve"> ADDIN ZOTERO_ITEM CSL_CITATION {"citationID":"pJ1wndpC","properties":{"formattedCitation":"{\\rtf (\\scaps Kaltschmitt \\scaps0{}u. a.\\scaps{}\\scaps0{}, 2009)}","plainCitation":"(Kaltschmitt u. a., 2009)"},"citationItems":[{"id":3343,"uris":["http://zotero.org/groups/11922/items/5FM2P9TT"],"uri":["http://zotero.org/groups/11922/items/5FM2P9TT"],"itemData":{"id":3343,"type":"book","title":"Energie aus Biomasse: Grundlagen, Techniken und Verfahren","publisher":"Springer","number-of-pages":"1032","edition":"2., Corrected Aufl. 2009. 2., korr. Nachdruck 2009","source":"Amazon.com","ISBN":"3540850945","shortTitle":"Energie aus Biomasse","author":[{"family":"Kaltschmitt","given":"Martin"},{"family":"Hartmann","given":"Hans"},{"family":"Hofbauer","given":"Hermann"}],"issued":{"date-parts":[["2009",6,25]]}}}],"schema":"https://github.com/citation-style-language/schema/raw/master/csl-citation.json"} </w:instrText>
      </w:r>
      <w:r w:rsidR="009D5C7F" w:rsidRPr="00CA023D">
        <w:fldChar w:fldCharType="separate"/>
      </w:r>
      <w:r w:rsidR="001F0DA8" w:rsidRPr="001F0DA8">
        <w:rPr>
          <w:rFonts w:cs="Times New Roman"/>
          <w:szCs w:val="24"/>
        </w:rPr>
        <w:t>(</w:t>
      </w:r>
      <w:r w:rsidR="001F0DA8" w:rsidRPr="001F0DA8">
        <w:rPr>
          <w:rFonts w:cs="Times New Roman"/>
          <w:smallCaps/>
          <w:szCs w:val="24"/>
        </w:rPr>
        <w:t xml:space="preserve">Kaltschmitt </w:t>
      </w:r>
      <w:r w:rsidR="001F0DA8" w:rsidRPr="001F0DA8">
        <w:rPr>
          <w:rFonts w:cs="Times New Roman"/>
          <w:szCs w:val="24"/>
        </w:rPr>
        <w:t>u. a., 2009)</w:t>
      </w:r>
      <w:r w:rsidR="009D5C7F" w:rsidRPr="00CA023D">
        <w:fldChar w:fldCharType="end"/>
      </w:r>
      <w:r w:rsidR="00CA023D">
        <w:t>)</w:t>
      </w:r>
      <w:r w:rsidRPr="00CA023D">
        <w:t>:</w:t>
      </w:r>
    </w:p>
    <w:p w:rsidR="00AE0948" w:rsidRPr="000462A7" w:rsidRDefault="00AE0948" w:rsidP="00CA023D">
      <w:pPr>
        <w:pStyle w:val="Listenabsatz"/>
        <w:numPr>
          <w:ilvl w:val="0"/>
          <w:numId w:val="15"/>
        </w:numPr>
        <w:rPr>
          <w:szCs w:val="24"/>
        </w:rPr>
      </w:pPr>
      <w:r w:rsidRPr="000462A7">
        <w:rPr>
          <w:szCs w:val="24"/>
        </w:rPr>
        <w:t xml:space="preserve">Thermo-chemische Verfahren: Die Biomasse (hauptsächlich biogene Festbrennstoffe) wird bei hohen Temperaturen thermisch zerstört. Zu diesem Zweck werden die besten Biobrennstoffe unter definierten Bedingungen (Druck, Temperatur etc.) mit einem Vergasungsmittel (z. B. Luft, Wasser) versetzt und dadurch in Sekundärenergieträger wie Holzkohle, </w:t>
      </w:r>
      <w:proofErr w:type="spellStart"/>
      <w:r w:rsidRPr="000462A7">
        <w:rPr>
          <w:szCs w:val="24"/>
        </w:rPr>
        <w:t>Pyrolyseöl</w:t>
      </w:r>
      <w:proofErr w:type="spellEnd"/>
      <w:r w:rsidRPr="000462A7">
        <w:rPr>
          <w:szCs w:val="24"/>
        </w:rPr>
        <w:t xml:space="preserve"> oder Produktgas umgewandelt. Während Holzkohle und </w:t>
      </w:r>
      <w:proofErr w:type="spellStart"/>
      <w:r w:rsidRPr="000462A7">
        <w:rPr>
          <w:szCs w:val="24"/>
        </w:rPr>
        <w:t>Pyrolyseöl</w:t>
      </w:r>
      <w:proofErr w:type="spellEnd"/>
      <w:r w:rsidRPr="000462A7">
        <w:rPr>
          <w:szCs w:val="24"/>
        </w:rPr>
        <w:t xml:space="preserve"> bisher aus energetischer Sicht nur eine begrenzte Anwendung gefunden haben (z. B. Holzkohle im Freizeitbereich), sind die Einsatzmöglichkeiten für ein brennbares Produktgas vielfältiger. </w:t>
      </w:r>
    </w:p>
    <w:p w:rsidR="00AE0948" w:rsidRPr="000462A7" w:rsidRDefault="00AE0948" w:rsidP="00CA023D">
      <w:pPr>
        <w:pStyle w:val="Listenabsatz"/>
        <w:numPr>
          <w:ilvl w:val="0"/>
          <w:numId w:val="15"/>
        </w:numPr>
        <w:rPr>
          <w:szCs w:val="24"/>
        </w:rPr>
      </w:pPr>
      <w:r w:rsidRPr="000462A7">
        <w:rPr>
          <w:szCs w:val="24"/>
        </w:rPr>
        <w:t>Physikalisch-chemische Umwandlung: Sie wird eingesetzt, um aus ölhaltigen Biomassen (z. B. Rapssaat) flüssige Bioenergieträger herzustellen. Dazu wird das Öl durch ein mechanisches Pressen und/oder eine Extraktion aus der Saat abgetrennt. Das Pflanzenöl ist sowohl im Reinform als auch nach einer Umwandlung (</w:t>
      </w:r>
      <w:proofErr w:type="spellStart"/>
      <w:r w:rsidRPr="000462A7">
        <w:rPr>
          <w:szCs w:val="24"/>
        </w:rPr>
        <w:t>Umesterung</w:t>
      </w:r>
      <w:proofErr w:type="spellEnd"/>
      <w:r w:rsidRPr="000462A7">
        <w:rPr>
          <w:szCs w:val="24"/>
        </w:rPr>
        <w:t>) zu Pflanzenölmethylester (Biodiesel) energetisch nutzbar.</w:t>
      </w:r>
    </w:p>
    <w:p w:rsidR="00AE0948" w:rsidRPr="000462A7" w:rsidRDefault="00AE0948" w:rsidP="00CA023D">
      <w:pPr>
        <w:pStyle w:val="Listenabsatz"/>
        <w:numPr>
          <w:ilvl w:val="0"/>
          <w:numId w:val="15"/>
        </w:numPr>
        <w:rPr>
          <w:szCs w:val="24"/>
        </w:rPr>
      </w:pPr>
      <w:r w:rsidRPr="000462A7">
        <w:rPr>
          <w:szCs w:val="24"/>
        </w:rPr>
        <w:t xml:space="preserve">Bio-chemische Umwandlung: Die Umwandlung der Biomasse erfolgt hierbei durch den Einsatz von Mikroorganismen und damit auf der Basis biologischer Prozesse. </w:t>
      </w:r>
    </w:p>
    <w:p w:rsidR="00AE0948" w:rsidRPr="000462A7" w:rsidRDefault="00AE0948" w:rsidP="00CA023D">
      <w:pPr>
        <w:pStyle w:val="Listenabsatz"/>
        <w:numPr>
          <w:ilvl w:val="1"/>
          <w:numId w:val="15"/>
        </w:numPr>
        <w:rPr>
          <w:szCs w:val="24"/>
        </w:rPr>
      </w:pPr>
      <w:r w:rsidRPr="000462A7">
        <w:rPr>
          <w:szCs w:val="24"/>
        </w:rPr>
        <w:t>Bei der alkoholischen Gärung wird zucker-, stärke- u</w:t>
      </w:r>
      <w:r w:rsidR="00960253" w:rsidRPr="000462A7">
        <w:rPr>
          <w:szCs w:val="24"/>
        </w:rPr>
        <w:t>nd z</w:t>
      </w:r>
      <w:r w:rsidRPr="000462A7">
        <w:rPr>
          <w:szCs w:val="24"/>
        </w:rPr>
        <w:t xml:space="preserve">ellulosehaltige Biomasse (Getreide, Zuckerrüben, künftig ggf. auch Stroh) in Ethanol überführt, der als Reinalkohol oder als Zumischkomponente zu Otto- oder Dieselkraftstoff eingesetzt werden kann. </w:t>
      </w:r>
    </w:p>
    <w:p w:rsidR="00AE0948" w:rsidRPr="000462A7" w:rsidRDefault="00AE0948" w:rsidP="00CA023D">
      <w:pPr>
        <w:pStyle w:val="Listenabsatz"/>
        <w:numPr>
          <w:ilvl w:val="1"/>
          <w:numId w:val="15"/>
        </w:numPr>
        <w:rPr>
          <w:szCs w:val="24"/>
        </w:rPr>
      </w:pPr>
      <w:r w:rsidRPr="000462A7">
        <w:rPr>
          <w:szCs w:val="24"/>
        </w:rPr>
        <w:t>Bei der anaeroben Vergärung wird organisches Material von Mikroorganismen zu Biogas (ca. 60 % Methan und rund 40 % Kohlendioxid) umgewandelt. Dieses Gas kann in Blockheizkraftwerken (</w:t>
      </w:r>
      <w:proofErr w:type="spellStart"/>
      <w:r w:rsidRPr="000462A7">
        <w:rPr>
          <w:szCs w:val="24"/>
        </w:rPr>
        <w:t>BHKW’s</w:t>
      </w:r>
      <w:proofErr w:type="spellEnd"/>
      <w:r w:rsidRPr="000462A7">
        <w:rPr>
          <w:szCs w:val="24"/>
        </w:rPr>
        <w:t xml:space="preserve">) zur Strom- und Wärmeerzeugung und – nach einer Aufbereitung – auch in gasbetriebenen </w:t>
      </w:r>
      <w:r w:rsidRPr="000462A7">
        <w:rPr>
          <w:szCs w:val="24"/>
        </w:rPr>
        <w:lastRenderedPageBreak/>
        <w:t xml:space="preserve">Kraftfahrzeugen eingesetzt werden. Verarbeitet werden organische Rückstände, Nebenprodukte und Abfälle (vornehmlich Gülle) aber auch Energiepflanzen wie z. B. Maissilage. </w:t>
      </w:r>
    </w:p>
    <w:p w:rsidR="00AE0948" w:rsidRDefault="00AE0948" w:rsidP="00AE2D30">
      <w:r w:rsidRPr="009E40A1">
        <w:t xml:space="preserve">Die Bandbreite der Konversionstechnologien ist enorm. So wurden z. B. alleine in Deutschland in den letzten Jahren </w:t>
      </w:r>
      <w:r w:rsidR="00217B9F" w:rsidRPr="009E40A1">
        <w:t xml:space="preserve">eine Vielzahl an </w:t>
      </w:r>
      <w:r w:rsidR="007700C3" w:rsidRPr="009E40A1">
        <w:t xml:space="preserve">Kleinfeuerungsanlagen </w:t>
      </w:r>
      <w:r w:rsidR="00217B9F" w:rsidRPr="009E40A1">
        <w:t xml:space="preserve">(derzeit </w:t>
      </w:r>
      <w:r w:rsidR="007700C3" w:rsidRPr="009E40A1">
        <w:t xml:space="preserve">z. B. </w:t>
      </w:r>
      <w:r w:rsidR="00217B9F" w:rsidRPr="009E40A1">
        <w:t xml:space="preserve">mehrere </w:t>
      </w:r>
      <w:r w:rsidR="007700C3" w:rsidRPr="009E40A1">
        <w:t xml:space="preserve">ca. 13 </w:t>
      </w:r>
      <w:r w:rsidR="00217B9F" w:rsidRPr="009E40A1">
        <w:t xml:space="preserve">Millionen </w:t>
      </w:r>
      <w:r w:rsidR="007700C3" w:rsidRPr="009E40A1">
        <w:t>Einzelraumfeuerstätten im Bestand</w:t>
      </w:r>
      <w:r w:rsidR="00217B9F" w:rsidRPr="009E40A1">
        <w:t>)</w:t>
      </w:r>
      <w:r w:rsidRPr="009E40A1">
        <w:t xml:space="preserve">, einige 100.000 </w:t>
      </w:r>
      <w:r w:rsidR="007700C3" w:rsidRPr="009E40A1">
        <w:t xml:space="preserve">zentrale Heizungsanlagen (Holzkessel) </w:t>
      </w:r>
      <w:r w:rsidRPr="009E40A1">
        <w:t>und Heizwerke</w:t>
      </w:r>
      <w:r w:rsidR="007700C3" w:rsidRPr="009E40A1">
        <w:t xml:space="preserve"> (Holzhackschnitzel)</w:t>
      </w:r>
      <w:r w:rsidRPr="009E40A1">
        <w:t xml:space="preserve">, ca. </w:t>
      </w:r>
      <w:r w:rsidR="005F09C4" w:rsidRPr="009E40A1">
        <w:t>7.300 Biogas</w:t>
      </w:r>
      <w:r w:rsidR="007700C3" w:rsidRPr="009E40A1">
        <w:t>anlagen</w:t>
      </w:r>
      <w:r w:rsidR="00120F09" w:rsidRPr="009E40A1">
        <w:t xml:space="preserve">, </w:t>
      </w:r>
      <w:r w:rsidR="005F09C4" w:rsidRPr="009E40A1">
        <w:t>etwa 120 Biogasaufbereitungs- und –einspeiseanlagen (</w:t>
      </w:r>
      <w:r w:rsidR="00120F09" w:rsidRPr="009E40A1">
        <w:t>Biomethan</w:t>
      </w:r>
      <w:r w:rsidR="005F09C4" w:rsidRPr="009E40A1">
        <w:t xml:space="preserve">) </w:t>
      </w:r>
      <w:r w:rsidRPr="009E40A1">
        <w:t xml:space="preserve">und über </w:t>
      </w:r>
      <w:r w:rsidR="005F09C4" w:rsidRPr="009E40A1">
        <w:t>500</w:t>
      </w:r>
      <w:r w:rsidRPr="009E40A1">
        <w:t xml:space="preserve"> Biomasseheizkraftwerke gebaut </w:t>
      </w:r>
      <w:r w:rsidR="009D5C7F" w:rsidRPr="009E40A1">
        <w:fldChar w:fldCharType="begin"/>
      </w:r>
      <w:r w:rsidR="00DC3EDD">
        <w:instrText xml:space="preserve"> ADDIN ZOTERO_ITEM CSL_CITATION {"citationID":"ypXfZDDl","properties":{"formattedCitation":"{\\rtf (\\scaps Lenz &amp; Ponitka\\scaps0{}, 2014; \\scaps Scheftelowitz \\scaps0{}u. a.\\scaps{}\\scaps0{}, 2013; \\scaps Witt, J.\\scaps0{}, 2012)}","plainCitation":"(Lenz &amp; Ponitka, 2014; Scheftelowitz u. a., 2013; Witt, J., 2012)"},"citationItems":[{"id":115,"uris":["http://zotero.org/groups/74766/items/E5FKP4UC"],"uri":["http://zotero.org/groups/74766/items/E5FKP4UC"],"itemData":{"id":115,"type":"speech","title":"Meilensteine 2030 – Perspektiven der Biomasse im Wärmesektor. Workshop „Biomasse im Wärmemarkt der Zukunft“","publisher-place":"Frankfurt am Main","event":"Workshop „Biomasse im Wärmemarkt der Zukunft“","event-place":"Frankfurt am Main","author":[{"family":"Lenz","given":"Volker"},{"family":"Ponitka","given":"Jens"}],"issued":{"date-parts":[["2014"]],"season":"02"}},"label":"page"},{"id":5131,"uris":["http://zotero.org/groups/50889/items/5JJVDUHV"],"uri":["http://zotero.org/groups/50889/items/5JJVDUHV"],"itemData":{"id":5131,"type":"report","title":"Stromerzeugung aus Biomasse","publisher":"Bundesministerium für Umwelt, Naturschutz, Bau und Reaktorsicherheit","publisher-place":"Berlin","genre":"Zwischenbericht","event-place":"Berlin","URL":"http://www.erneuerbare-energien.de/fileadmin/Daten_EE/Dokumente__PDFs_/biomassemonitoring_zwischenbericht_bf.pdf","number":"03MAP250","author":[{"family":"Scheftelowitz","given":"M."},{"family":"Daniel-Gromke","given":"J."},{"family":"Denysenko","given":"V."},{"family":"Sauter","given":"P."},{"family":"Naumann","given":"K."},{"family":"Krautz","given":"A."},{"family":"Beil","given":"M."},{"family":"Beyrich","given":"W."},{"family":"Peters","given":"W."},{"family":"Schicketanz","given":"S."},{"family":"Schultze","given":"C."},{"family":"Deumelandt","given":"P."},{"family":"Reinicke","given":"F."}],"issued":{"date-parts":[["2013"]]},"accessed":{"date-parts":[["2014",2,14]]}},"label":"page"},{"id":4110,"uris":["http://zotero.org/groups/11922/items/MCTAFITK"],"uri":["http://zotero.org/groups/11922/items/MCTAFITK"],"itemData":{"id":4110,"type":"book","title":"Holzpelletbereitstellung für Kleinfeuerungsanlagen - Analyse und Bewertung von Einflussmöglichkeiten auf die Brennstofffestigkeit","collection-title":"DBFZ Report","collection-number":"14","publisher":"Deutsches Biomasseforschungszentrum gemeinnützige GmbH","publisher-place":"Leipzig","event-place":"Leipzig","ISBN":"ISSN 2190-7944","author":[{"family":"Witt, J.","given":""}],"issued":{"date-parts":[["2012",9]]}},"label":"page"}],"schema":"https://github.com/citation-style-language/schema/raw/master/csl-citation.json"} </w:instrText>
      </w:r>
      <w:r w:rsidR="009D5C7F" w:rsidRPr="009E40A1">
        <w:fldChar w:fldCharType="separate"/>
      </w:r>
      <w:r w:rsidR="001F0DA8" w:rsidRPr="001F0DA8">
        <w:rPr>
          <w:rFonts w:cs="Times New Roman"/>
          <w:szCs w:val="24"/>
        </w:rPr>
        <w:t>(</w:t>
      </w:r>
      <w:r w:rsidR="001F0DA8" w:rsidRPr="001F0DA8">
        <w:rPr>
          <w:rFonts w:cs="Times New Roman"/>
          <w:smallCaps/>
          <w:szCs w:val="24"/>
        </w:rPr>
        <w:t>Lenz &amp; Ponitka</w:t>
      </w:r>
      <w:r w:rsidR="001F0DA8" w:rsidRPr="001F0DA8">
        <w:rPr>
          <w:rFonts w:cs="Times New Roman"/>
          <w:szCs w:val="24"/>
        </w:rPr>
        <w:t xml:space="preserve">, 2014; </w:t>
      </w:r>
      <w:r w:rsidR="001F0DA8" w:rsidRPr="001F0DA8">
        <w:rPr>
          <w:rFonts w:cs="Times New Roman"/>
          <w:smallCaps/>
          <w:szCs w:val="24"/>
        </w:rPr>
        <w:t xml:space="preserve">Scheftelowitz </w:t>
      </w:r>
      <w:r w:rsidR="001F0DA8" w:rsidRPr="001F0DA8">
        <w:rPr>
          <w:rFonts w:cs="Times New Roman"/>
          <w:szCs w:val="24"/>
        </w:rPr>
        <w:t xml:space="preserve">u. a., 2013; </w:t>
      </w:r>
      <w:r w:rsidR="001F0DA8" w:rsidRPr="001F0DA8">
        <w:rPr>
          <w:rFonts w:cs="Times New Roman"/>
          <w:smallCaps/>
          <w:szCs w:val="24"/>
        </w:rPr>
        <w:t>Witt, J.</w:t>
      </w:r>
      <w:r w:rsidR="001F0DA8" w:rsidRPr="001F0DA8">
        <w:rPr>
          <w:rFonts w:cs="Times New Roman"/>
          <w:szCs w:val="24"/>
        </w:rPr>
        <w:t>, 2012)</w:t>
      </w:r>
      <w:r w:rsidR="009D5C7F" w:rsidRPr="009E40A1">
        <w:fldChar w:fldCharType="end"/>
      </w:r>
      <w:r w:rsidR="005F09C4" w:rsidRPr="009E40A1">
        <w:t>.</w:t>
      </w:r>
      <w:r w:rsidRPr="009E40A1">
        <w:t xml:space="preserve"> </w:t>
      </w:r>
      <w:r w:rsidR="005F09C4" w:rsidRPr="009E40A1">
        <w:t xml:space="preserve">Zudem werden Biokraftstoffe im Umfang von etwa </w:t>
      </w:r>
      <w:r w:rsidR="00217B9F" w:rsidRPr="009E40A1">
        <w:t xml:space="preserve">2,5 Mio. t Biodiesel und 1,25 Mio. t Bioethanol </w:t>
      </w:r>
      <w:r w:rsidR="009D5C7F" w:rsidRPr="009E40A1">
        <w:fldChar w:fldCharType="begin"/>
      </w:r>
      <w:r w:rsidR="00DC3EDD">
        <w:instrText xml:space="preserve"> ADDIN ZOTERO_ITEM CSL_CITATION {"citationID":"GCl4tGjp","properties":{"formattedCitation":"{\\rtf (\\scaps Naumann \\scaps0{}u. a.\\scaps{}\\scaps0{}, 2014; \\scaps ZSW\\scaps0{}, 2013)}","plainCitation":"(Naumann u. a., 2014; ZSW, 2013)"},"citationItems":[{"id":113,"uris":["http://zotero.org/groups/50889/items/EIWMEDBE"],"uri":["http://zotero.org/groups/50889/items/EIWMEDBE"],"itemData":{"id":113,"type":"report","title":"Monitoring Biokraftstoffsektor","publisher":"DBFZ Deutsches Biomasseforschungszentrum gemeinnützige GmbH","publisher-place":"Leipzig","genre":"DBFZ Report","event-place":"Leipzig","number":"11 (2. Auflage)","author":[{"family":"Naumann","given":"K."},{"family":"Oehmichen","given":"K."},{"family":"Zeymer","given":"M."},{"family":"Meisel","given":"K."}],"issued":{"date-parts":[["2014"]]}},"label":"page"},{"id":114,"uris":["http://zotero.org/groups/74766/items/KTC6UKJ3"],"uri":["http://zotero.org/groups/74766/items/KTC6UKJ3"],"itemData":{"id":114,"type":"article","title":"Erneuerbare Energien in Deutschland - Das Wichtigste im Jahr 2012 auf einen Blick (ZSW nach Arbeitsgruppe Erneuerbare Energien-Statistik (AGEE-Stat)) Stand: Dezember 2013","publisher":"Zentrum für Sonnenenergie- und Wasserstoff-Forschung Baden-Württemberg","author":[{"family":"ZSW","given":""}],"issued":{"date-parts":[["2013"]]}},"label":"page"}],"schema":"https://github.com/citation-style-language/schema/raw/master/csl-citation.json"} </w:instrText>
      </w:r>
      <w:r w:rsidR="009D5C7F" w:rsidRPr="009E40A1">
        <w:fldChar w:fldCharType="separate"/>
      </w:r>
      <w:r w:rsidR="001F0DA8" w:rsidRPr="001F0DA8">
        <w:rPr>
          <w:rFonts w:cs="Times New Roman"/>
          <w:szCs w:val="24"/>
        </w:rPr>
        <w:t>(</w:t>
      </w:r>
      <w:r w:rsidR="001F0DA8" w:rsidRPr="001F0DA8">
        <w:rPr>
          <w:rFonts w:cs="Times New Roman"/>
          <w:smallCaps/>
          <w:szCs w:val="24"/>
        </w:rPr>
        <w:t xml:space="preserve">Naumann </w:t>
      </w:r>
      <w:r w:rsidR="001F0DA8" w:rsidRPr="001F0DA8">
        <w:rPr>
          <w:rFonts w:cs="Times New Roman"/>
          <w:szCs w:val="24"/>
        </w:rPr>
        <w:t xml:space="preserve">u. a., 2014; </w:t>
      </w:r>
      <w:r w:rsidR="001F0DA8" w:rsidRPr="001F0DA8">
        <w:rPr>
          <w:rFonts w:cs="Times New Roman"/>
          <w:smallCaps/>
          <w:szCs w:val="24"/>
        </w:rPr>
        <w:t>ZSW</w:t>
      </w:r>
      <w:r w:rsidR="001F0DA8" w:rsidRPr="001F0DA8">
        <w:rPr>
          <w:rFonts w:cs="Times New Roman"/>
          <w:szCs w:val="24"/>
        </w:rPr>
        <w:t>, 2013)</w:t>
      </w:r>
      <w:r w:rsidR="009D5C7F" w:rsidRPr="009E40A1">
        <w:fldChar w:fldCharType="end"/>
      </w:r>
      <w:r w:rsidR="00217B9F" w:rsidRPr="009E40A1">
        <w:t xml:space="preserve"> in Deutschland eingesetzt</w:t>
      </w:r>
      <w:r w:rsidR="00343A87" w:rsidRPr="009E40A1">
        <w:t xml:space="preserve">. </w:t>
      </w:r>
      <w:r w:rsidRPr="009E40A1">
        <w:t xml:space="preserve">Diese Technologien haben technisch noch ein deutliches Potenzial zur Weiterentwicklung. </w:t>
      </w:r>
      <w:r w:rsidR="00120F09" w:rsidRPr="009E40A1">
        <w:t>Weitere</w:t>
      </w:r>
      <w:r w:rsidRPr="009E40A1">
        <w:t xml:space="preserve"> Verfahren </w:t>
      </w:r>
      <w:r w:rsidR="00120F09" w:rsidRPr="009E40A1">
        <w:t>befinden sich in der Erprobung, z</w:t>
      </w:r>
      <w:r w:rsidR="00120F09">
        <w:t xml:space="preserve">.B. </w:t>
      </w:r>
      <w:r>
        <w:t xml:space="preserve">zur Bereitstellung von Ethanol aus </w:t>
      </w:r>
      <w:proofErr w:type="spellStart"/>
      <w:r>
        <w:t>Lignozellulose</w:t>
      </w:r>
      <w:proofErr w:type="spellEnd"/>
      <w:r>
        <w:t xml:space="preserve"> und </w:t>
      </w:r>
      <w:r w:rsidR="00241590">
        <w:t xml:space="preserve">von </w:t>
      </w:r>
      <w:r>
        <w:t>synthetischen Biokraftstoffen. Mittel- bis langfristige Technologiekonzepte basieren größtenteils auf holzartigen Biomassen und sind gekennzeichnet durch teilweise deutlich höhere Kapaz</w:t>
      </w:r>
      <w:r w:rsidR="005F09C4">
        <w:t>itäten (und daraus folgend einem</w:t>
      </w:r>
      <w:r>
        <w:t xml:space="preserve"> höheren Rohstoffbedarf) als die heute bereits verfügbaren Anlagen. </w:t>
      </w:r>
    </w:p>
    <w:p w:rsidR="00DA1C68" w:rsidRDefault="00DA1C68" w:rsidP="00891100">
      <w:r>
        <w:t xml:space="preserve">Aufgrund </w:t>
      </w:r>
      <w:r w:rsidR="00F959DF">
        <w:t xml:space="preserve">zum Teil komplexer Bereitstellungsketten und </w:t>
      </w:r>
      <w:r>
        <w:t>differenziert zu betrachtender</w:t>
      </w:r>
      <w:r w:rsidR="00427D43">
        <w:t>, hier nicht weiter ausgeführter,</w:t>
      </w:r>
      <w:r>
        <w:t xml:space="preserve"> Synergien (z.B. Reststoffnutzung) aber auch Konkurrenzen um Flächen (z.B. Lebensmittelproduktion), Rohstoffe (z.B. stoffliche Nutzung) und Endnutzung (z.B. Strom aus Wind und PV) kann derzeit kein Königsweg </w:t>
      </w:r>
      <w:r w:rsidR="00F959DF">
        <w:t>im Sinne einer zu priorisierenden Bereitstellungskette empfohlen werden.</w:t>
      </w:r>
    </w:p>
    <w:p w:rsidR="00974FF3" w:rsidRDefault="00120F09" w:rsidP="00F959DF">
      <w:r>
        <w:t>Die Schwierigkeit der Bewertung der verschiedenen Konversionspfade und Bioenergieträger wird weiterhin erschwert durch die Tatsache, dass</w:t>
      </w:r>
      <w:r w:rsidR="00974FF3">
        <w:t xml:space="preserve"> Bioenergiebereitstellung </w:t>
      </w:r>
      <w:r>
        <w:t>mehrere und</w:t>
      </w:r>
      <w:r w:rsidR="004609EC">
        <w:t xml:space="preserve"> sehr </w:t>
      </w:r>
      <w:r w:rsidR="00974FF3">
        <w:t>unterschiedliche Ziele</w:t>
      </w:r>
      <w:r w:rsidR="00F959DF">
        <w:t xml:space="preserve"> </w:t>
      </w:r>
      <w:r>
        <w:t xml:space="preserve">verfolgt, </w:t>
      </w:r>
      <w:r w:rsidR="00F959DF">
        <w:t xml:space="preserve">wie </w:t>
      </w:r>
      <w:r w:rsidR="004609EC">
        <w:t xml:space="preserve">zum Beispiel </w:t>
      </w:r>
      <w:r w:rsidR="00F959DF">
        <w:t xml:space="preserve">Beitrag zum </w:t>
      </w:r>
      <w:r w:rsidR="00974FF3">
        <w:t>Klimaschutz</w:t>
      </w:r>
      <w:r w:rsidR="00F959DF">
        <w:t xml:space="preserve">, </w:t>
      </w:r>
      <w:r w:rsidR="00AE2D30">
        <w:t xml:space="preserve">Erhöhung der </w:t>
      </w:r>
      <w:r w:rsidR="00974FF3">
        <w:t>Versorgungssicherheit</w:t>
      </w:r>
      <w:r w:rsidR="00F959DF">
        <w:t xml:space="preserve">, </w:t>
      </w:r>
      <w:r w:rsidR="00974FF3">
        <w:t>Entwicklung ländlicher Räume</w:t>
      </w:r>
      <w:r w:rsidR="00F959DF">
        <w:t xml:space="preserve"> und auch </w:t>
      </w:r>
      <w:r w:rsidR="00974FF3">
        <w:t>Expor</w:t>
      </w:r>
      <w:r w:rsidR="004609EC">
        <w:t>tmöglichkeiten für</w:t>
      </w:r>
      <w:r w:rsidR="00974FF3">
        <w:t xml:space="preserve"> Technologien</w:t>
      </w:r>
      <w:r w:rsidR="00F959DF">
        <w:t>.</w:t>
      </w:r>
    </w:p>
    <w:p w:rsidR="009A0EF9" w:rsidRDefault="00622DEE" w:rsidP="002068CE">
      <w:pPr>
        <w:pStyle w:val="berschrift1"/>
      </w:pPr>
      <w:r>
        <w:t>Biomassepotenziale</w:t>
      </w:r>
    </w:p>
    <w:p w:rsidR="009A0EF9" w:rsidRDefault="009A0EF9" w:rsidP="002068CE">
      <w:pPr>
        <w:pStyle w:val="berschrift2"/>
      </w:pPr>
      <w:r w:rsidRPr="002068CE">
        <w:t>Begriffsbestimmungen</w:t>
      </w:r>
    </w:p>
    <w:p w:rsidR="00367E96" w:rsidRDefault="00E306A5" w:rsidP="00367E96">
      <w:r>
        <w:t xml:space="preserve">Um einen Überblick über die vorhandenen und nutzbaren Biomassepotenziale geben zu können, ist eine entsprechende Begriffsbestimmung notwendig. </w:t>
      </w:r>
      <w:r w:rsidR="004E0EC9">
        <w:t xml:space="preserve">Je nach Betrachtungsebene kann ein </w:t>
      </w:r>
      <w:r w:rsidR="004E0EC9" w:rsidRPr="004E0EC9">
        <w:t xml:space="preserve">Potenzial als Flächen-, Rohstoff-, Brennstoff- oder Bioenergiepotenzial </w:t>
      </w:r>
      <w:r w:rsidR="004E0EC9">
        <w:t xml:space="preserve">ausgewiesen werden. </w:t>
      </w:r>
      <w:r w:rsidR="00367E96">
        <w:t>Es wird</w:t>
      </w:r>
      <w:r w:rsidR="004E0EC9">
        <w:t xml:space="preserve"> dabei</w:t>
      </w:r>
      <w:r w:rsidR="00367E96">
        <w:t xml:space="preserve">, in Anlehnung an </w:t>
      </w:r>
      <w:r w:rsidR="009D5C7F">
        <w:fldChar w:fldCharType="begin"/>
      </w:r>
      <w:r>
        <w:instrText xml:space="preserve"> ADDIN ZOTERO_ITEM CSL_CITATION {"citationID":"2ea0dl5guf","properties":{"formattedCitation":"{\\rtf (\\scaps Kaltschmitt \\scaps0{}u. a.\\scaps{}\\scaps0{}, 2009)}","plainCitation":"(Kaltschmitt u. a., 2009)"},"citationItems":[{"id":3343,"uris":["http://zotero.org/groups/11922/items/5FM2P9TT"],"uri":["http://zotero.org/groups/11922/items/5FM2P9TT"],"itemData":{"id":3343,"type":"book","title":"Energie aus Biomasse: Grundlagen, Techniken und Verfahren","publisher":"Springer","number-of-pages":"1032","edition":"2., Corrected Aufl. 2009. 2., korr. Nachdruck 2009","source":"Amazon.com","ISBN":"3540850945","shortTitle":"Energie aus Biomasse","author":[{"family":"Kaltschmitt","given":"Martin"},{"family":"Hartmann","given":"Hans"},{"family":"Hofbauer","given":"Hermann"}],"issued":{"date-parts":[["2009",6,25]]}}}],"schema":"https://github.com/citation-style-language/schema/raw/master/csl-citation.json"} </w:instrText>
      </w:r>
      <w:r w:rsidR="009D5C7F">
        <w:fldChar w:fldCharType="separate"/>
      </w:r>
      <w:r w:rsidR="001F0DA8" w:rsidRPr="001F0DA8">
        <w:rPr>
          <w:rFonts w:cs="Times New Roman"/>
          <w:szCs w:val="24"/>
        </w:rPr>
        <w:t>(</w:t>
      </w:r>
      <w:r w:rsidR="001F0DA8" w:rsidRPr="001F0DA8">
        <w:rPr>
          <w:rFonts w:cs="Times New Roman"/>
          <w:smallCaps/>
          <w:szCs w:val="24"/>
        </w:rPr>
        <w:t xml:space="preserve">Kaltschmitt </w:t>
      </w:r>
      <w:r w:rsidR="001F0DA8" w:rsidRPr="001F0DA8">
        <w:rPr>
          <w:rFonts w:cs="Times New Roman"/>
          <w:szCs w:val="24"/>
        </w:rPr>
        <w:t>u. a., 2009)</w:t>
      </w:r>
      <w:r w:rsidR="009D5C7F">
        <w:fldChar w:fldCharType="end"/>
      </w:r>
      <w:r w:rsidR="004E0EC9">
        <w:t>,</w:t>
      </w:r>
      <w:r w:rsidR="00367E96">
        <w:t xml:space="preserve"> </w:t>
      </w:r>
      <w:r w:rsidR="004E0EC9">
        <w:t xml:space="preserve">unterschieden </w:t>
      </w:r>
      <w:r w:rsidR="000462A7">
        <w:t xml:space="preserve">(vgl. </w:t>
      </w:r>
      <w:r w:rsidR="009D5C7F">
        <w:fldChar w:fldCharType="begin"/>
      </w:r>
      <w:r w:rsidR="000462A7">
        <w:instrText xml:space="preserve"> REF _Ref391552853 \h </w:instrText>
      </w:r>
      <w:r w:rsidR="009D5C7F">
        <w:fldChar w:fldCharType="separate"/>
      </w:r>
      <w:r w:rsidR="000462A7">
        <w:t xml:space="preserve">Abbildung </w:t>
      </w:r>
      <w:r w:rsidR="000462A7">
        <w:rPr>
          <w:noProof/>
        </w:rPr>
        <w:t>4</w:t>
      </w:r>
      <w:r w:rsidR="009D5C7F">
        <w:fldChar w:fldCharType="end"/>
      </w:r>
      <w:r w:rsidR="000462A7">
        <w:t xml:space="preserve">) </w:t>
      </w:r>
      <w:r w:rsidR="00367E96">
        <w:t>zwischen</w:t>
      </w:r>
      <w:r w:rsidR="004E0EC9">
        <w:t>:</w:t>
      </w:r>
      <w:r w:rsidR="00367E96">
        <w:t xml:space="preserve"> </w:t>
      </w:r>
    </w:p>
    <w:p w:rsidR="00367E96" w:rsidRDefault="00367E96" w:rsidP="004E0EC9">
      <w:pPr>
        <w:pStyle w:val="Listenabsatz"/>
        <w:numPr>
          <w:ilvl w:val="0"/>
          <w:numId w:val="7"/>
        </w:numPr>
      </w:pPr>
      <w:r>
        <w:t>theoretischem Potenzial (markiert die Obergrenze (z. B. die in der gesamten Pflanzenmasse gespeicherte Energie) des theoretisch realisierbaren Beitrags zur Energiebereitstellung in einer gegebenen Region innerhalb eines bestimmten Zeitr</w:t>
      </w:r>
      <w:r w:rsidR="004E0EC9">
        <w:t>aumes; d</w:t>
      </w:r>
      <w:r>
        <w:t>a das theoretische Potenzial aufgrund bestimmter</w:t>
      </w:r>
      <w:r w:rsidR="004E0EC9">
        <w:t xml:space="preserve"> </w:t>
      </w:r>
      <w:r>
        <w:t xml:space="preserve">Restriktionen meist </w:t>
      </w:r>
      <w:r>
        <w:lastRenderedPageBreak/>
        <w:t>nur in sehr geringen Teilen erschlossen werden kann, kommt ihm zur</w:t>
      </w:r>
      <w:r w:rsidR="004E0EC9">
        <w:t xml:space="preserve"> </w:t>
      </w:r>
      <w:r>
        <w:t>Beurteilung der tatsächlichen Nutzbarkeit der Biomasse keine praktische Relevanz</w:t>
      </w:r>
      <w:r w:rsidR="004E0EC9">
        <w:t xml:space="preserve"> zu)</w:t>
      </w:r>
    </w:p>
    <w:p w:rsidR="004E0EC9" w:rsidRDefault="00367E96" w:rsidP="004E0EC9">
      <w:pPr>
        <w:pStyle w:val="Listenabsatz"/>
        <w:numPr>
          <w:ilvl w:val="0"/>
          <w:numId w:val="7"/>
        </w:numPr>
      </w:pPr>
      <w:r>
        <w:t xml:space="preserve">technischem Potenzial (beschreibt den Teil des theoretischen Potenzials, der unter Berücksichtigung gegebener technischer (z. B. Bergungsrate, Konversionsverluste) und anderer struktureller oder gesetzlicher Restriktionen nutzbar ist) </w:t>
      </w:r>
    </w:p>
    <w:p w:rsidR="004E0EC9" w:rsidRDefault="004E0EC9" w:rsidP="004E0EC9">
      <w:pPr>
        <w:pStyle w:val="Listenabsatz"/>
        <w:numPr>
          <w:ilvl w:val="0"/>
          <w:numId w:val="7"/>
        </w:numPr>
      </w:pPr>
      <w:r>
        <w:t>wirtschaftlichem Potenzial (beschreibt den zeit- und ortsabhängigen Anteil des technischen Potenzials, der unter den jeweils betrachteten ökonomischen Rahmenbedingungen wirtschaftlich erschlossen werden kann (dazu zählen auch Subventionen oder Umlagesysteme wie das EEG)). Da sich die wirtschaftlichen Randbedingungen kurzfristig verändern können, ist das wirtschaftliche Potenzial starken zeitlichen Schwankungen unterworfen.) (vgl.</w:t>
      </w:r>
      <w:r w:rsidR="00FB6C2F">
        <w:t xml:space="preserve"> auch</w:t>
      </w:r>
      <w:r>
        <w:t xml:space="preserve"> </w:t>
      </w:r>
      <w:r w:rsidR="009D5C7F">
        <w:fldChar w:fldCharType="begin"/>
      </w:r>
      <w:r>
        <w:instrText xml:space="preserve"> ADDIN ZOTERO_ITEM CSL_CITATION {"citationID":"oca9fr49j","properties":{"formattedCitation":"{\\rtf (\\scaps Thr\\uc0\\u228{}n \\scaps0{}u. a.\\scaps{}\\scaps0{}, 2013)}","plainCitation":"(Thrän u. a., 2013)"},"citationItems":[{"id":5140,"uris":["http://zotero.org/groups/74766/items/2A4DVP5W"],"uri":["http://zotero.org/groups/74766/items/2A4DVP5W"],"itemData":{"id":5140,"type":"book","title":"Methodenhandbuch Stoffstromorientierte Bilanzierung der Klimagaseffekte","collection-title":"Schriftenreihe des BMU-Förderprogramm \"Energetische Biomassenutzung\"","publisher-place":"Leipzig DBFZ","volume":"04","number-of-pages":"1-158","event-place":"Leipzig DBFZ","URL":"http://www.energetische-Biomassenutzung.de","ISBN":"2192-1806","language":"Deutsch","author":[{"family":"Thrän","given":"Daniela"},{"family":"Pfeiffer","given":"Diana"},{"family":"Brosowski","given":"André"},{"family":"Fischer","given":"E."},{"family":"Herrmann","given":"André"},{"family":"Majer","given":"Stefan"},{"family":"Oehmichen","given":"Katja"},{"family":"Schmersahl","given":"R."},{"family":"Schröder","given":"T."},{"family":"Stecher","given":"Kitty"},{"family":"Stinner","given":"Walter"},{"family":"Zeller","given":"Vanessa"},{"family":"Zeymer","given":"Martin"},{"family":"Ciroth","given":"A."},{"family":"Zschunke","given":"T."},{"family":"Fritsche","given":"Uwe R."},{"family":"Hennenberg","given":"Klaus"},{"family":"Gödeke","given":"K."}],"editor":[{"family":"Thrän","given":"Daniela"},{"family":"Pfeiffer","given":"Diana"}],"issued":{"date-parts":[["2013",10]]},"accessed":{"date-parts":[["2012",12,20]]}}}],"schema":"https://github.com/citation-style-language/schema/raw/master/csl-citation.json"} </w:instrText>
      </w:r>
      <w:r w:rsidR="009D5C7F">
        <w:fldChar w:fldCharType="separate"/>
      </w:r>
      <w:r w:rsidR="001F0DA8" w:rsidRPr="001F0DA8">
        <w:rPr>
          <w:rFonts w:cs="Times New Roman"/>
          <w:szCs w:val="24"/>
        </w:rPr>
        <w:t>(</w:t>
      </w:r>
      <w:r w:rsidR="001F0DA8" w:rsidRPr="001F0DA8">
        <w:rPr>
          <w:rFonts w:cs="Times New Roman"/>
          <w:smallCaps/>
          <w:szCs w:val="24"/>
        </w:rPr>
        <w:t xml:space="preserve">Thrän </w:t>
      </w:r>
      <w:r w:rsidR="001F0DA8" w:rsidRPr="001F0DA8">
        <w:rPr>
          <w:rFonts w:cs="Times New Roman"/>
          <w:szCs w:val="24"/>
        </w:rPr>
        <w:t>u. a., 2013)</w:t>
      </w:r>
      <w:r w:rsidR="009D5C7F">
        <w:fldChar w:fldCharType="end"/>
      </w:r>
      <w:r>
        <w:t>)</w:t>
      </w:r>
    </w:p>
    <w:p w:rsidR="00FB6C2F" w:rsidRDefault="00974FF3" w:rsidP="00FB6C2F">
      <w:pPr>
        <w:keepNext/>
      </w:pPr>
      <w:r w:rsidRPr="00974FF3">
        <w:rPr>
          <w:noProof/>
          <w:lang w:eastAsia="de-DE"/>
        </w:rPr>
        <w:drawing>
          <wp:inline distT="0" distB="0" distL="0" distR="0">
            <wp:extent cx="4155578" cy="2813538"/>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8113" cy="2815254"/>
                    </a:xfrm>
                    <a:prstGeom prst="rect">
                      <a:avLst/>
                    </a:prstGeom>
                    <a:noFill/>
                    <a:ln>
                      <a:noFill/>
                    </a:ln>
                  </pic:spPr>
                </pic:pic>
              </a:graphicData>
            </a:graphic>
          </wp:inline>
        </w:drawing>
      </w:r>
    </w:p>
    <w:p w:rsidR="00974FF3" w:rsidRDefault="00FB6C2F" w:rsidP="00FB6C2F">
      <w:pPr>
        <w:pStyle w:val="Beschriftung"/>
      </w:pPr>
      <w:bookmarkStart w:id="3" w:name="_Ref391552853"/>
      <w:r>
        <w:t xml:space="preserve">Abbildung </w:t>
      </w:r>
      <w:fldSimple w:instr=" SEQ Abbildung \* ARABIC ">
        <w:r w:rsidR="000462A7">
          <w:rPr>
            <w:noProof/>
          </w:rPr>
          <w:t>4</w:t>
        </w:r>
      </w:fldSimple>
      <w:bookmarkEnd w:id="3"/>
      <w:r>
        <w:t xml:space="preserve">: Potenzialbegriffe rund um Bioenergie </w:t>
      </w:r>
      <w:r w:rsidR="00974FF3">
        <w:t xml:space="preserve">(nach </w:t>
      </w:r>
      <w:r w:rsidR="009D5C7F">
        <w:fldChar w:fldCharType="begin"/>
      </w:r>
      <w:r w:rsidR="004E0EC9">
        <w:instrText xml:space="preserve"> ADDIN ZOTERO_ITEM CSL_CITATION {"citationID":"FsyxE53p","properties":{"formattedCitation":"{\\rtf (\\scaps Kaltschmitt \\scaps0{}u. a.\\scaps{}\\scaps0{}, 2009)}","plainCitation":"(Kaltschmitt u. a., 2009)"},"citationItems":[{"id":3343,"uris":["http://zotero.org/groups/11922/items/5FM2P9TT"],"uri":["http://zotero.org/groups/11922/items/5FM2P9TT"],"itemData":{"id":3343,"type":"book","title":"Energie aus Biomasse: Grundlagen, Techniken und Verfahren","publisher":"Springer","number-of-pages":"1032","edition":"2., Corrected Aufl. 2009. 2., korr. Nachdruck 2009","source":"Amazon.com","ISBN":"3540850945","shortTitle":"Energie aus Biomasse","author":[{"family":"Kaltschmitt","given":"Martin"},{"family":"Hartmann","given":"Hans"},{"family":"Hofbauer","given":"Hermann"}],"issued":{"date-parts":[["2009",6,25]]}}}],"schema":"https://github.com/citation-style-language/schema/raw/master/csl-citation.json"} </w:instrText>
      </w:r>
      <w:r w:rsidR="009D5C7F">
        <w:fldChar w:fldCharType="separate"/>
      </w:r>
      <w:r w:rsidR="001F0DA8" w:rsidRPr="001F0DA8">
        <w:rPr>
          <w:rFonts w:cs="Times New Roman"/>
          <w:szCs w:val="24"/>
        </w:rPr>
        <w:t>(</w:t>
      </w:r>
      <w:r w:rsidR="001F0DA8" w:rsidRPr="001F0DA8">
        <w:rPr>
          <w:rFonts w:cs="Times New Roman"/>
          <w:smallCaps/>
          <w:szCs w:val="24"/>
        </w:rPr>
        <w:t xml:space="preserve">Kaltschmitt </w:t>
      </w:r>
      <w:r w:rsidR="001F0DA8" w:rsidRPr="001F0DA8">
        <w:rPr>
          <w:rFonts w:cs="Times New Roman"/>
          <w:szCs w:val="24"/>
        </w:rPr>
        <w:t>u. a., 2009)</w:t>
      </w:r>
      <w:r w:rsidR="009D5C7F">
        <w:fldChar w:fldCharType="end"/>
      </w:r>
      <w:r w:rsidR="00974FF3">
        <w:t>)</w:t>
      </w:r>
    </w:p>
    <w:p w:rsidR="004E7BC2" w:rsidRDefault="00960253" w:rsidP="00AE2D30">
      <w:r>
        <w:t xml:space="preserve">So wie in Deutschland (vgl. </w:t>
      </w:r>
      <w:r w:rsidR="009D5C7F">
        <w:fldChar w:fldCharType="begin"/>
      </w:r>
      <w:r>
        <w:instrText xml:space="preserve"> REF _Ref391297637 \h </w:instrText>
      </w:r>
      <w:r w:rsidR="009D5C7F">
        <w:fldChar w:fldCharType="separate"/>
      </w:r>
      <w:r w:rsidR="000462A7">
        <w:t xml:space="preserve">Abbildung </w:t>
      </w:r>
      <w:r w:rsidR="000462A7">
        <w:rPr>
          <w:noProof/>
        </w:rPr>
        <w:t>2</w:t>
      </w:r>
      <w:r w:rsidR="009D5C7F">
        <w:fldChar w:fldCharType="end"/>
      </w:r>
      <w:r>
        <w:t>) gibt es auch weltweit</w:t>
      </w:r>
      <w:r w:rsidR="00A671F5">
        <w:t>, je nach Erhebungsmethodik,</w:t>
      </w:r>
      <w:r>
        <w:t xml:space="preserve"> erhebliche Unterschiede in den zukünftig zur Verfügung stehenden Biomassepotenzialen. </w:t>
      </w:r>
      <w:r w:rsidR="00A671F5">
        <w:t xml:space="preserve">So stehen zum Beispiel </w:t>
      </w:r>
      <w:r w:rsidR="00A671F5" w:rsidRPr="00A671F5">
        <w:t xml:space="preserve">laut IPCC </w:t>
      </w:r>
      <w:r w:rsidR="009D5C7F" w:rsidRPr="00A671F5">
        <w:fldChar w:fldCharType="begin"/>
      </w:r>
      <w:r w:rsidR="008E3FD9">
        <w:instrText xml:space="preserve"> ADDIN ZOTERO_ITEM CSL_CITATION {"citationID":"15g3ahg3r1","properties":{"formattedCitation":"{\\rtf (\\scaps Chum \\scaps0{}u. a.\\scaps{}\\scaps0{}, 2011)}","plainCitation":"(Chum u. a., 2011)"},"citationItems":[{"id":116,"uris":["http://zotero.org/groups/74766/items/TNIBHN74"],"uri":["http://zotero.org/groups/74766/items/TNIBHN74"],"itemData":{"id":116,"type":"chapter","title":"Bioenergy","container-title":"IPCC Special Report on Renewable Energy Sources and Climate Change Mitigation","collection-title":"2","publisher-place":"Cambridge/ New York","event-place":"Cambridge/ New York","author":[{"family":"Chum","given":"Helena"},{"family":"Faaij","given":"Andre"},{"family":"Moreira","given":"Jose"}],"issued":{"date-parts":[["2011"]]}}}],"schema":"https://github.com/citation-style-language/schema/raw/master/csl-citation.json"} </w:instrText>
      </w:r>
      <w:r w:rsidR="009D5C7F" w:rsidRPr="00A671F5">
        <w:fldChar w:fldCharType="separate"/>
      </w:r>
      <w:r w:rsidR="001F0DA8" w:rsidRPr="001F0DA8">
        <w:rPr>
          <w:rFonts w:cs="Times New Roman"/>
          <w:szCs w:val="24"/>
        </w:rPr>
        <w:t>(</w:t>
      </w:r>
      <w:r w:rsidR="001F0DA8" w:rsidRPr="001F0DA8">
        <w:rPr>
          <w:rFonts w:cs="Times New Roman"/>
          <w:smallCaps/>
          <w:szCs w:val="24"/>
        </w:rPr>
        <w:t xml:space="preserve">Chum </w:t>
      </w:r>
      <w:r w:rsidR="001F0DA8" w:rsidRPr="001F0DA8">
        <w:rPr>
          <w:rFonts w:cs="Times New Roman"/>
          <w:szCs w:val="24"/>
        </w:rPr>
        <w:t>u. a., 2011)</w:t>
      </w:r>
      <w:r w:rsidR="009D5C7F" w:rsidRPr="00A671F5">
        <w:fldChar w:fldCharType="end"/>
      </w:r>
      <w:r w:rsidR="00A671F5">
        <w:t xml:space="preserve"> </w:t>
      </w:r>
      <w:r w:rsidR="00A671F5" w:rsidRPr="00A671F5">
        <w:t>im</w:t>
      </w:r>
      <w:r w:rsidR="00A671F5">
        <w:t xml:space="preserve"> Jahr 2050 zwischen weniger als 50 EJ bis über 1.000 EJ an Biomasse (technisches Potenzial) zur Verfügung. In Szenarien des DBFZ </w:t>
      </w:r>
      <w:r w:rsidR="009D5C7F" w:rsidRPr="002A1708">
        <w:fldChar w:fldCharType="begin"/>
      </w:r>
      <w:r w:rsidR="00AE2D30" w:rsidRPr="002A1708">
        <w:instrText xml:space="preserve"> ADDIN ZOTERO_ITEM CSL_CITATION {"citationID":"kpgp1t710","properties":{"formattedCitation":"{\\rtf (\\scaps BMVBS (Hrsg.)\\scaps0{}, 2010)}","plainCitation":"(BMVBS (Hrsg.), 2010)"},"citationItems":[{"id":4561,"uris":["http://zotero.org/groups/74766/items/872ARIFH"],"uri":["http://zotero.org/groups/74766/items/872ARIFH"],"itemData":{"id":4561,"type":"report","title":"Globale und regionale Verteilung von Biomassepotenzialen. Status-quo und Möglichkeiten der Präzesierung","collection-title":"BMVBS-Online-Publikation 27/2010","publisher":"BMVBS","URL":"http://z2.zalf.de/oa/1541f3d3-422c-4cb3-ba10-d94139bb60d4.pdf","shortTitle":"Globale und regionale Verteilung von Biomassepotenzialen","author":[{"family":"BMVBS (Hrsg.)","given":""}],"issued":{"date-parts":[["2010"]]}}}],"schema":"https://github.com/citation-style-language/schema/raw/master/csl-citation.json"} </w:instrText>
      </w:r>
      <w:r w:rsidR="009D5C7F" w:rsidRPr="002A1708">
        <w:fldChar w:fldCharType="separate"/>
      </w:r>
      <w:r w:rsidR="001F0DA8" w:rsidRPr="001F0DA8">
        <w:rPr>
          <w:rFonts w:cs="Times New Roman"/>
          <w:szCs w:val="24"/>
        </w:rPr>
        <w:t>(</w:t>
      </w:r>
      <w:r w:rsidR="001F0DA8" w:rsidRPr="001F0DA8">
        <w:rPr>
          <w:rFonts w:cs="Times New Roman"/>
          <w:smallCaps/>
          <w:szCs w:val="24"/>
        </w:rPr>
        <w:t>BMVBS (Hrsg.)</w:t>
      </w:r>
      <w:r w:rsidR="001F0DA8" w:rsidRPr="001F0DA8">
        <w:rPr>
          <w:rFonts w:cs="Times New Roman"/>
          <w:szCs w:val="24"/>
        </w:rPr>
        <w:t>, 2010)</w:t>
      </w:r>
      <w:r w:rsidR="009D5C7F" w:rsidRPr="002A1708">
        <w:fldChar w:fldCharType="end"/>
      </w:r>
      <w:r w:rsidR="00A671F5">
        <w:t xml:space="preserve"> </w:t>
      </w:r>
      <w:r w:rsidR="004E7BC2">
        <w:t xml:space="preserve">können 2050 </w:t>
      </w:r>
      <w:r w:rsidR="00A671F5">
        <w:t>zwischen 36-57</w:t>
      </w:r>
      <w:r w:rsidR="004E7BC2">
        <w:t> EJ</w:t>
      </w:r>
      <w:r w:rsidR="00A671F5">
        <w:t xml:space="preserve"> Holz</w:t>
      </w:r>
      <w:r w:rsidR="004E7BC2">
        <w:t xml:space="preserve">, 0-22EJ landwirtschaftliche Biomassen und </w:t>
      </w:r>
      <w:r w:rsidR="00A671F5">
        <w:t>etwa 30 </w:t>
      </w:r>
      <w:r w:rsidR="004E7BC2">
        <w:t>EJ Reststoffe</w:t>
      </w:r>
      <w:r w:rsidR="00A671F5">
        <w:t xml:space="preserve"> </w:t>
      </w:r>
      <w:r w:rsidR="004E7BC2">
        <w:t>(jeweils technisches</w:t>
      </w:r>
      <w:r w:rsidR="004E7BC2" w:rsidRPr="00A671F5">
        <w:t xml:space="preserve"> B</w:t>
      </w:r>
      <w:r w:rsidR="008A2042">
        <w:t>r</w:t>
      </w:r>
      <w:r w:rsidR="004E7BC2" w:rsidRPr="00A671F5">
        <w:t>ennstoffpotenzial</w:t>
      </w:r>
      <w:r w:rsidR="004E7BC2">
        <w:t>) genutzt werden.</w:t>
      </w:r>
      <w:r w:rsidR="008A2042">
        <w:t xml:space="preserve"> </w:t>
      </w:r>
    </w:p>
    <w:p w:rsidR="00974FF3" w:rsidRDefault="00EE15CF" w:rsidP="00AE2D30">
      <w:r>
        <w:t xml:space="preserve">Als </w:t>
      </w:r>
      <w:r w:rsidR="004E7BC2">
        <w:t xml:space="preserve">ein </w:t>
      </w:r>
      <w:r>
        <w:t>Lösung</w:t>
      </w:r>
      <w:r w:rsidR="00665C38">
        <w:t>sbeitrag</w:t>
      </w:r>
      <w:r>
        <w:t xml:space="preserve"> für das Dilemma endlicher Flächen kam das Konzept der Nutzung </w:t>
      </w:r>
      <w:r w:rsidR="0001651C">
        <w:t xml:space="preserve">im weiteren Sinne </w:t>
      </w:r>
      <w:r>
        <w:t>degradierter Flächen auf. Diese umfassen mehr oder weniger stark zum Beispiel chemisch ode</w:t>
      </w:r>
      <w:r w:rsidR="0001651C">
        <w:t xml:space="preserve">r physikalisch veränderte Böden aber auch </w:t>
      </w:r>
      <w:r>
        <w:t xml:space="preserve">aufgegebene landwirtschaftliche Flächen oder Grenzertragsstandorte. Die verschiedenen Studien </w:t>
      </w:r>
      <w:r w:rsidR="007667AE">
        <w:t xml:space="preserve">(Auswahl siehe </w:t>
      </w:r>
      <w:fldSimple w:instr=" REF _Ref390255150 \h  \* MERGEFORMAT ">
        <w:r w:rsidR="000462A7">
          <w:t xml:space="preserve">Abbildung </w:t>
        </w:r>
        <w:r w:rsidR="000462A7">
          <w:rPr>
            <w:noProof/>
          </w:rPr>
          <w:t>5</w:t>
        </w:r>
      </w:fldSimple>
      <w:r w:rsidR="0001651C">
        <w:t xml:space="preserve">) </w:t>
      </w:r>
      <w:r>
        <w:t xml:space="preserve">kommen je nach verwendeter Methode zu einer großen Bandbreite </w:t>
      </w:r>
      <w:r w:rsidRPr="00974FF3">
        <w:t xml:space="preserve">an </w:t>
      </w:r>
      <w:r w:rsidR="0001651C">
        <w:t xml:space="preserve">sowohl </w:t>
      </w:r>
      <w:r w:rsidRPr="00974FF3">
        <w:t xml:space="preserve">Flächen- </w:t>
      </w:r>
      <w:r w:rsidR="0001651C">
        <w:t xml:space="preserve">als auch </w:t>
      </w:r>
      <w:r w:rsidRPr="00974FF3">
        <w:t xml:space="preserve">Bioenergiepotenzialen (8-150 EJ) aufgrund </w:t>
      </w:r>
      <w:r w:rsidR="0001651C">
        <w:t xml:space="preserve">vor allem </w:t>
      </w:r>
      <w:r w:rsidRPr="00974FF3">
        <w:t xml:space="preserve">uneinheitlicher Abgrenzung </w:t>
      </w:r>
      <w:r w:rsidR="00EC426A">
        <w:t xml:space="preserve">der </w:t>
      </w:r>
      <w:r w:rsidR="0001651C">
        <w:t>Erhebungsmethodik</w:t>
      </w:r>
      <w:r>
        <w:t xml:space="preserve">. Auf der anderen Seite gibt es </w:t>
      </w:r>
      <w:r w:rsidR="0001651C">
        <w:t xml:space="preserve">für die </w:t>
      </w:r>
      <w:proofErr w:type="spellStart"/>
      <w:r w:rsidR="0001651C">
        <w:t>Inwertsetzung</w:t>
      </w:r>
      <w:proofErr w:type="spellEnd"/>
      <w:r w:rsidR="0001651C">
        <w:t xml:space="preserve"> derartiger Flächen </w:t>
      </w:r>
      <w:r>
        <w:t xml:space="preserve">kaum </w:t>
      </w:r>
      <w:r w:rsidR="005974A9" w:rsidRPr="00974FF3">
        <w:t xml:space="preserve">Praxisbeispiele und </w:t>
      </w:r>
      <w:r>
        <w:t>ein</w:t>
      </w:r>
      <w:r w:rsidR="00EC426A">
        <w:t>e</w:t>
      </w:r>
      <w:r>
        <w:t xml:space="preserve"> </w:t>
      </w:r>
      <w:r w:rsidR="005974A9" w:rsidRPr="00974FF3">
        <w:t xml:space="preserve">unsichere Wissensbasis zu </w:t>
      </w:r>
      <w:r>
        <w:t xml:space="preserve">konkreten </w:t>
      </w:r>
      <w:r w:rsidR="005974A9" w:rsidRPr="00974FF3">
        <w:t>Erschließungsmöglichkeiten (</w:t>
      </w:r>
      <w:r w:rsidR="00EC426A">
        <w:t>insbesondere</w:t>
      </w:r>
      <w:r w:rsidR="0001651C">
        <w:t xml:space="preserve"> </w:t>
      </w:r>
      <w:r w:rsidR="00EC426A">
        <w:t xml:space="preserve">zu </w:t>
      </w:r>
      <w:r w:rsidR="005974A9" w:rsidRPr="00974FF3">
        <w:t xml:space="preserve">Investitionskosten, Ertragshöhe, </w:t>
      </w:r>
      <w:r w:rsidR="005974A9" w:rsidRPr="00974FF3">
        <w:lastRenderedPageBreak/>
        <w:t>Markt</w:t>
      </w:r>
      <w:r w:rsidR="0001651C">
        <w:t>zugang</w:t>
      </w:r>
      <w:r w:rsidR="005974A9" w:rsidRPr="00974FF3">
        <w:t>)</w:t>
      </w:r>
      <w:r>
        <w:t xml:space="preserve">. Auch sind </w:t>
      </w:r>
      <w:r w:rsidR="005974A9" w:rsidRPr="00974FF3">
        <w:t>Auswirkungen z.</w:t>
      </w:r>
      <w:r w:rsidR="00EC426A">
        <w:t> </w:t>
      </w:r>
      <w:r w:rsidR="005974A9" w:rsidRPr="00974FF3">
        <w:t>B. auf Biodi</w:t>
      </w:r>
      <w:r>
        <w:t>versität und Landnutzungsrechte ungewiss</w:t>
      </w:r>
      <w:r w:rsidR="0001651C">
        <w:t xml:space="preserve"> beziehungsweise wenig untersucht</w:t>
      </w:r>
      <w:r>
        <w:t xml:space="preserve">. Hier besteht </w:t>
      </w:r>
      <w:r w:rsidR="0001651C">
        <w:t xml:space="preserve">aus Sicht der Autoren </w:t>
      </w:r>
      <w:r>
        <w:t xml:space="preserve">weiterer Forschungsbedarf und die Notwendigkeit von Demonstrationsprojekten. </w:t>
      </w:r>
    </w:p>
    <w:p w:rsidR="007667AE" w:rsidRDefault="00E361FA" w:rsidP="007667AE">
      <w:pPr>
        <w:keepNext/>
      </w:pPr>
      <w:r w:rsidRPr="00974FF3">
        <w:rPr>
          <w:noProof/>
          <w:lang w:eastAsia="de-DE"/>
        </w:rPr>
        <w:drawing>
          <wp:inline distT="0" distB="0" distL="0" distR="0">
            <wp:extent cx="5760720" cy="2999383"/>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999383"/>
                    </a:xfrm>
                    <a:prstGeom prst="rect">
                      <a:avLst/>
                    </a:prstGeom>
                    <a:noFill/>
                    <a:ln>
                      <a:noFill/>
                    </a:ln>
                  </pic:spPr>
                </pic:pic>
              </a:graphicData>
            </a:graphic>
          </wp:inline>
        </w:drawing>
      </w:r>
    </w:p>
    <w:p w:rsidR="00E361FA" w:rsidRDefault="007667AE" w:rsidP="007667AE">
      <w:pPr>
        <w:pStyle w:val="Beschriftung"/>
      </w:pPr>
      <w:bookmarkStart w:id="4" w:name="_Ref390255150"/>
      <w:r>
        <w:t xml:space="preserve">Abbildung </w:t>
      </w:r>
      <w:fldSimple w:instr=" SEQ Abbildung \* ARABIC ">
        <w:r w:rsidR="000462A7">
          <w:rPr>
            <w:noProof/>
          </w:rPr>
          <w:t>5</w:t>
        </w:r>
      </w:fldSimple>
      <w:bookmarkEnd w:id="4"/>
      <w:r>
        <w:t>: Potenziale degradierter Flächen (e</w:t>
      </w:r>
      <w:r w:rsidR="00E361FA">
        <w:t xml:space="preserve">igene </w:t>
      </w:r>
      <w:r w:rsidR="00A333A2">
        <w:t xml:space="preserve">Darstellung </w:t>
      </w:r>
      <w:r w:rsidR="00E361FA">
        <w:t xml:space="preserve">nach </w:t>
      </w:r>
      <w:r w:rsidR="009D5C7F">
        <w:fldChar w:fldCharType="begin"/>
      </w:r>
      <w:r w:rsidR="00A333A2">
        <w:instrText xml:space="preserve"> ADDIN ZOTERO_ITEM CSL_CITATION {"citationID":"13j15v2ked","properties":{"formattedCitation":"{\\rtf (\\scaps Dauber \\scaps0{}u. a.\\scaps{}\\scaps0{}, 2012)}","plainCitation":"(Dauber u. a., 2012)"},"citationItems":[{"id":2328,"uris":["http://zotero.org/groups/74766/items/U7CAT9VU"],"uri":["http://zotero.org/groups/74766/items/U7CAT9VU"],"itemData":{"id":2328,"type":"article-journal","title":"Bioenergy from “surplus” land: environmental and socio-economic implications","container-title":"BIORISK – Biodiversity and Ecosystem Risk Assessment","page":"5-50","volume":"7","abstract":"The increasing demand for biomass for the production of bioenergy is generating land-use conflicts. These\nconflicts might be solved through spatial segregation of food/feed and energy producing areas by continuing\nproducing food on established and productive agricultural land while growing dedicated energy\ncrops on so called “surplus” land. Ambiguity in the definition and characterization of surplus land as well\nas uncertainty in assessments of land availability and of future bioenergy potentials is causing confusion\nabout the prospects and the environmental and socio-economic implications of bioenergy development\nin those areas. The high level of uncertainty is due to environmental, economic and social constraints not\nyet taken into account and to the potentials offered by those novel crops and their production methods\nnot being fully exploited. This paper provides a scientific background in support of a reassessment of land\navailable for bioenergy production by clarifying the terminology, identifying constraints and options for\nBioRisk 7: 5–50 (2012)\ndoi: 10.3897/biorisk.7.3036\nwww.pensoftonline.net/biorisk\nCopyright Jens Dauber et al. This is an open access article distributed under the terms of the Creative Commons Attribution License 3.0 (CC-BY),\nwhich permits unrestricted use, distribution, and reproduction in any medium, provided the original author and source are credited.\nReseARCh ARtiCle BioRisk A peer-reviewed open-access journal\nJens Dauber et al. / BioRisk 7: 5–50 (2012) 6\nan efficient bioenergy-use of surplus land and providing policy recommendations for resolving conflicting\nland-use demands. A serious approach to factoring in the constraints, combined with creativity in utilizing\nthe options provided, in our opinion, would lead to a more sustainable and efficient development of the\nbioenergy sector. Unless the sustainability challenge is mastered, the interdependent policy objectives of\nmitigating climate change, obtaining independence from fossil fuels, feeding and fuelling a growing human\nworld population and maintaining biodiversity and ecosystem services will not be met. Despite the\nadvanced developments of bioenergy, we still see regional solutions for designing and establishing sustainable\nbioenergy production systems with optimized production resulting in social, economic and ecological\nbenefits. Where bioenergy production has been identified as the most suitable option to overcome the\ngiven problems of energy security and climate change mitigation, we need to determine which bioenergy\ncultivation systems are most suitable for the respective types of surplus land, by taking into account issues\nsuch as yields, inputs and costs, as well as potential environmental and socio-economic impacts.","DOI":"10.3897/biorisk.7.3036","ISSN":"1313-2652, 1313-2644","shortTitle":"Bioenergy from “surplus” land","language":"English","author":[{"family":"Dauber","given":"Jens"},{"family":"Brown","given":"Chris"},{"family":"Fernando","given":"Ana Luisa"},{"family":"Finnan","given":"John"},{"family":"Krasuska","given":"Ewa"},{"family":"Ponitka","given":"Jens"},{"family":"Styles","given":"David"},{"family":"Thrän","given":"Daniela"},{"family":"Van Groenigen","given":"Kees Jan"},{"family":"Zah","given":"Rainer"}],"issued":{"date-parts":[["2012",10,17]]},"accessed":{"date-parts":[["2012",11,5]]}}}],"schema":"https://github.com/citation-style-language/schema/raw/master/csl-citation.json"} </w:instrText>
      </w:r>
      <w:r w:rsidR="009D5C7F">
        <w:fldChar w:fldCharType="separate"/>
      </w:r>
      <w:r w:rsidR="001F0DA8" w:rsidRPr="001F0DA8">
        <w:rPr>
          <w:rFonts w:cs="Times New Roman"/>
          <w:szCs w:val="24"/>
        </w:rPr>
        <w:t>(</w:t>
      </w:r>
      <w:r w:rsidR="001F0DA8" w:rsidRPr="001F0DA8">
        <w:rPr>
          <w:rFonts w:cs="Times New Roman"/>
          <w:smallCaps/>
          <w:szCs w:val="24"/>
        </w:rPr>
        <w:t xml:space="preserve">Dauber </w:t>
      </w:r>
      <w:r w:rsidR="001F0DA8" w:rsidRPr="001F0DA8">
        <w:rPr>
          <w:rFonts w:cs="Times New Roman"/>
          <w:szCs w:val="24"/>
        </w:rPr>
        <w:t>u. a., 2012)</w:t>
      </w:r>
      <w:r w:rsidR="009D5C7F">
        <w:fldChar w:fldCharType="end"/>
      </w:r>
      <w:r w:rsidR="009433B3">
        <w:t xml:space="preserve">) </w:t>
      </w:r>
      <w:r>
        <w:t>[</w:t>
      </w:r>
      <w:r w:rsidR="00E361FA" w:rsidRPr="00974FF3">
        <w:t>* degradierte Flächen</w:t>
      </w:r>
      <w:r>
        <w:t>;</w:t>
      </w:r>
      <w:r w:rsidR="00E361FA" w:rsidRPr="00974FF3">
        <w:t xml:space="preserve"> </w:t>
      </w:r>
      <w:r>
        <w:t xml:space="preserve">** aufgegebenes Ackerland; *** </w:t>
      </w:r>
      <w:r w:rsidR="00E361FA" w:rsidRPr="00974FF3">
        <w:t>marginale Flächen</w:t>
      </w:r>
      <w:r>
        <w:t>]</w:t>
      </w:r>
    </w:p>
    <w:p w:rsidR="00114CD2" w:rsidRDefault="009A0EF9" w:rsidP="002068CE">
      <w:pPr>
        <w:pStyle w:val="berschrift1"/>
      </w:pPr>
      <w:r w:rsidRPr="002068CE">
        <w:t>Weiterentwicklung</w:t>
      </w:r>
      <w:r w:rsidR="002068CE" w:rsidRPr="002068CE">
        <w:t>/ Nutzungsalternativen</w:t>
      </w:r>
    </w:p>
    <w:p w:rsidR="00665C38" w:rsidRPr="00665C38" w:rsidRDefault="00665C38" w:rsidP="00241590">
      <w:r>
        <w:t>Vor dem Hintergrund der begrenzten Biomassepotenziale gewinn</w:t>
      </w:r>
      <w:r w:rsidR="00140641">
        <w:t>en</w:t>
      </w:r>
      <w:r>
        <w:t xml:space="preserve"> die Effizienzverbesserung entlang der Bereitstellungskette sowie die Etablierung von Nachhaltigkeitsstandards insbesondere für die Biomassebereitstellung zunehmend an Bedeutung. </w:t>
      </w:r>
      <w:r w:rsidR="005120F3">
        <w:t>Wesentliche Ansatzstellen werden nachfolgend exemplarisch aufgezeigt.</w:t>
      </w:r>
      <w:r>
        <w:t xml:space="preserve"> </w:t>
      </w:r>
    </w:p>
    <w:p w:rsidR="00114CD2" w:rsidRDefault="004A1962" w:rsidP="002068CE">
      <w:pPr>
        <w:pStyle w:val="berschrift2"/>
      </w:pPr>
      <w:r>
        <w:t>Konzepte für Reststoffe</w:t>
      </w:r>
    </w:p>
    <w:p w:rsidR="00891100" w:rsidRPr="00891100" w:rsidRDefault="001E4DAF" w:rsidP="001E4DAF">
      <w:r>
        <w:t>Ziel</w:t>
      </w:r>
      <w:r w:rsidR="004A1962">
        <w:t xml:space="preserve"> einer Vorbehandlung von Biomasse, insbesondere von Reststoffen, hat zumeist das Ziel, diese besser transportfähig und </w:t>
      </w:r>
      <w:proofErr w:type="spellStart"/>
      <w:r>
        <w:t>lagerbar</w:t>
      </w:r>
      <w:proofErr w:type="spellEnd"/>
      <w:r>
        <w:t xml:space="preserve">, </w:t>
      </w:r>
      <w:r w:rsidR="004A1962">
        <w:t xml:space="preserve">oder auch </w:t>
      </w:r>
      <w:r>
        <w:t>vielfältig</w:t>
      </w:r>
      <w:r w:rsidR="004A1962">
        <w:t>er</w:t>
      </w:r>
      <w:r>
        <w:t xml:space="preserve"> einsetzbar </w:t>
      </w:r>
      <w:r w:rsidR="004A1962">
        <w:t xml:space="preserve">zu machen. Durch zum Beispiel das Verfahren der </w:t>
      </w:r>
      <w:proofErr w:type="spellStart"/>
      <w:r w:rsidR="004A1962">
        <w:t>Torrefizierung</w:t>
      </w:r>
      <w:proofErr w:type="spellEnd"/>
      <w:r w:rsidR="004A1962">
        <w:t xml:space="preserve"> (einer </w:t>
      </w:r>
      <w:proofErr w:type="spellStart"/>
      <w:r w:rsidR="004A1962">
        <w:t>p</w:t>
      </w:r>
      <w:r>
        <w:t>yrolytische</w:t>
      </w:r>
      <w:r w:rsidR="00EC426A">
        <w:t>n</w:t>
      </w:r>
      <w:proofErr w:type="spellEnd"/>
      <w:r>
        <w:t xml:space="preserve"> Zersetzung der Biomasse </w:t>
      </w:r>
      <w:r w:rsidR="004A1962">
        <w:t xml:space="preserve">bei 250 – 300 °C) ergeben sich einige Vorteile im Umgang mit </w:t>
      </w:r>
      <w:proofErr w:type="spellStart"/>
      <w:r w:rsidR="004A1962">
        <w:t>lignozellulosehaltigen</w:t>
      </w:r>
      <w:proofErr w:type="spellEnd"/>
      <w:r w:rsidR="007C5CBC">
        <w:t xml:space="preserve"> Substraten wie einer </w:t>
      </w:r>
      <w:r>
        <w:t>reduzierte</w:t>
      </w:r>
      <w:r w:rsidR="00FA4CCE">
        <w:t>n</w:t>
      </w:r>
      <w:r>
        <w:t xml:space="preserve"> Ausgangsbiomasse (-30 %)</w:t>
      </w:r>
      <w:r w:rsidR="00241590">
        <w:t xml:space="preserve"> und </w:t>
      </w:r>
      <w:r w:rsidR="007C5CBC">
        <w:t xml:space="preserve">ein </w:t>
      </w:r>
      <w:r>
        <w:t>geringer Energieverlust (-10 %)</w:t>
      </w:r>
      <w:r w:rsidR="00241590">
        <w:t xml:space="preserve"> durch Lagerung</w:t>
      </w:r>
      <w:r w:rsidR="007C5CBC">
        <w:t xml:space="preserve">. Die </w:t>
      </w:r>
      <w:proofErr w:type="spellStart"/>
      <w:r w:rsidR="007C5CBC">
        <w:t>t</w:t>
      </w:r>
      <w:r>
        <w:t>orre</w:t>
      </w:r>
      <w:r w:rsidR="007C5CBC">
        <w:t>fizierte</w:t>
      </w:r>
      <w:proofErr w:type="spellEnd"/>
      <w:r w:rsidR="007C5CBC">
        <w:t xml:space="preserve"> Biomasse </w:t>
      </w:r>
      <w:r w:rsidR="00CF605C">
        <w:t xml:space="preserve">weist durch ihre </w:t>
      </w:r>
      <w:r w:rsidR="007C5CBC">
        <w:t>hydrophob</w:t>
      </w:r>
      <w:r w:rsidR="00CF605C">
        <w:t xml:space="preserve">en Eigenschaften </w:t>
      </w:r>
      <w:r>
        <w:t xml:space="preserve">kaum </w:t>
      </w:r>
      <w:r w:rsidR="007C5CBC">
        <w:t xml:space="preserve">mehr </w:t>
      </w:r>
      <w:r>
        <w:t>biologische Aktivität</w:t>
      </w:r>
      <w:r w:rsidR="007C5CBC">
        <w:t xml:space="preserve"> auf und die </w:t>
      </w:r>
      <w:r>
        <w:t xml:space="preserve">erhöhte Porosität </w:t>
      </w:r>
      <w:r w:rsidR="007C5CBC">
        <w:t xml:space="preserve">erleichtert eine anschließende </w:t>
      </w:r>
      <w:proofErr w:type="spellStart"/>
      <w:r>
        <w:t>Pelletierung</w:t>
      </w:r>
      <w:proofErr w:type="spellEnd"/>
      <w:r>
        <w:t>/</w:t>
      </w:r>
      <w:r w:rsidR="007C5CBC">
        <w:t xml:space="preserve"> </w:t>
      </w:r>
      <w:proofErr w:type="spellStart"/>
      <w:r>
        <w:t>Mahlung</w:t>
      </w:r>
      <w:proofErr w:type="spellEnd"/>
      <w:r w:rsidR="007C5CBC">
        <w:t>.</w:t>
      </w:r>
    </w:p>
    <w:p w:rsidR="00114CD2" w:rsidRDefault="009F79DE" w:rsidP="002068CE">
      <w:pPr>
        <w:pStyle w:val="berschrift2"/>
      </w:pPr>
      <w:r>
        <w:t xml:space="preserve">Optimierte </w:t>
      </w:r>
      <w:r w:rsidR="00114CD2" w:rsidRPr="002068CE">
        <w:t>Biokrafts</w:t>
      </w:r>
      <w:r>
        <w:t>toffproduktion</w:t>
      </w:r>
    </w:p>
    <w:p w:rsidR="002B48C9" w:rsidRPr="00CE49C0" w:rsidRDefault="00CF605C" w:rsidP="00CF605C">
      <w:r>
        <w:t xml:space="preserve">Ein Beispiel einer Biokraftstoffproduktion mit hoher Treibhausgasminderung gegenüber </w:t>
      </w:r>
      <w:r w:rsidR="009F79DE">
        <w:t xml:space="preserve">konventioneller </w:t>
      </w:r>
      <w:proofErr w:type="spellStart"/>
      <w:r w:rsidR="009F79DE">
        <w:t>Ethanolherstellung</w:t>
      </w:r>
      <w:proofErr w:type="spellEnd"/>
      <w:r w:rsidR="009F79DE">
        <w:t xml:space="preserve"> und </w:t>
      </w:r>
      <w:r>
        <w:t>der fossilen Referenz (</w:t>
      </w:r>
      <w:r w:rsidR="009D5C7F">
        <w:fldChar w:fldCharType="begin"/>
      </w:r>
      <w:r>
        <w:instrText xml:space="preserve"> REF _Ref390258170 \h </w:instrText>
      </w:r>
      <w:r w:rsidR="009D5C7F">
        <w:fldChar w:fldCharType="separate"/>
      </w:r>
      <w:r w:rsidR="000462A7">
        <w:t xml:space="preserve">Abbildung </w:t>
      </w:r>
      <w:r w:rsidR="000462A7">
        <w:rPr>
          <w:noProof/>
        </w:rPr>
        <w:t>6</w:t>
      </w:r>
      <w:r w:rsidR="009D5C7F">
        <w:fldChar w:fldCharType="end"/>
      </w:r>
      <w:r>
        <w:t xml:space="preserve">) ist die </w:t>
      </w:r>
      <w:proofErr w:type="spellStart"/>
      <w:r w:rsidR="005974A9" w:rsidRPr="00CE49C0">
        <w:t>Ethanolproduktion</w:t>
      </w:r>
      <w:proofErr w:type="spellEnd"/>
      <w:r w:rsidR="005974A9" w:rsidRPr="00CE49C0">
        <w:t xml:space="preserve"> </w:t>
      </w:r>
      <w:r>
        <w:t xml:space="preserve">(z.B. aus </w:t>
      </w:r>
      <w:proofErr w:type="spellStart"/>
      <w:r>
        <w:t>Triticale</w:t>
      </w:r>
      <w:proofErr w:type="spellEnd"/>
      <w:r>
        <w:t xml:space="preserve">) </w:t>
      </w:r>
      <w:r w:rsidR="005974A9" w:rsidRPr="00CE49C0">
        <w:t xml:space="preserve">mit </w:t>
      </w:r>
      <w:r>
        <w:t xml:space="preserve">der Kopplung an eine </w:t>
      </w:r>
      <w:r w:rsidR="005974A9" w:rsidRPr="00CE49C0">
        <w:t>Biogasanlage</w:t>
      </w:r>
      <w:r>
        <w:t xml:space="preserve">, welche unter anderem Stroh </w:t>
      </w:r>
      <w:r w:rsidR="009F79DE">
        <w:t>u</w:t>
      </w:r>
      <w:r>
        <w:t xml:space="preserve">nd </w:t>
      </w:r>
      <w:r w:rsidR="009F79DE">
        <w:t xml:space="preserve">zusätzlich </w:t>
      </w:r>
      <w:r>
        <w:t xml:space="preserve">die Schlempe aus dem </w:t>
      </w:r>
      <w:proofErr w:type="spellStart"/>
      <w:r>
        <w:t>Ethanolprozess</w:t>
      </w:r>
      <w:proofErr w:type="spellEnd"/>
      <w:r>
        <w:t xml:space="preserve"> einsetzt. Hierdurch können die Nährstoffkreisläufe geschlossen werden und die i</w:t>
      </w:r>
      <w:r w:rsidR="005974A9" w:rsidRPr="00CE49C0">
        <w:t>nterne Prozessenergieversorgung</w:t>
      </w:r>
      <w:r>
        <w:t xml:space="preserve"> </w:t>
      </w:r>
      <w:r w:rsidR="00542DEF">
        <w:t xml:space="preserve">der </w:t>
      </w:r>
      <w:proofErr w:type="spellStart"/>
      <w:r w:rsidR="00542DEF">
        <w:t>Ethanolanlage</w:t>
      </w:r>
      <w:proofErr w:type="spellEnd"/>
      <w:r w:rsidR="00542DEF">
        <w:t xml:space="preserve"> </w:t>
      </w:r>
      <w:r>
        <w:t xml:space="preserve">teilweise gedeckt werden. </w:t>
      </w:r>
      <w:r w:rsidR="00052B96">
        <w:t xml:space="preserve">Weitergehende Effizienzsteigerungen sind </w:t>
      </w:r>
      <w:r w:rsidR="00052B96">
        <w:lastRenderedPageBreak/>
        <w:t>sowohl beim Anbau der Biomasse als auch einzelnen technischen Verfahrensschritten (Optimierung des Fermentationsprozesses der Biogasanlage) möglich.</w:t>
      </w:r>
    </w:p>
    <w:p w:rsidR="00CE49C0" w:rsidRPr="00CE49C0" w:rsidRDefault="00CE49C0" w:rsidP="00CE49C0"/>
    <w:p w:rsidR="00CF605C" w:rsidRDefault="001E4DAF" w:rsidP="00CF605C">
      <w:pPr>
        <w:keepNext/>
      </w:pPr>
      <w:r w:rsidRPr="001E4DAF">
        <w:rPr>
          <w:noProof/>
          <w:lang w:eastAsia="de-DE"/>
        </w:rPr>
        <w:drawing>
          <wp:inline distT="0" distB="0" distL="0" distR="0">
            <wp:extent cx="4653915" cy="474218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3915" cy="4742180"/>
                    </a:xfrm>
                    <a:prstGeom prst="rect">
                      <a:avLst/>
                    </a:prstGeom>
                    <a:noFill/>
                    <a:ln>
                      <a:noFill/>
                    </a:ln>
                  </pic:spPr>
                </pic:pic>
              </a:graphicData>
            </a:graphic>
          </wp:inline>
        </w:drawing>
      </w:r>
    </w:p>
    <w:p w:rsidR="001E4DAF" w:rsidRPr="001E4DAF" w:rsidRDefault="00CF605C" w:rsidP="00CF605C">
      <w:pPr>
        <w:pStyle w:val="Beschriftung"/>
      </w:pPr>
      <w:bookmarkStart w:id="5" w:name="_Ref390258170"/>
      <w:r>
        <w:t xml:space="preserve">Abbildung </w:t>
      </w:r>
      <w:fldSimple w:instr=" SEQ Abbildung \* ARABIC ">
        <w:r w:rsidR="000462A7">
          <w:rPr>
            <w:noProof/>
          </w:rPr>
          <w:t>6</w:t>
        </w:r>
      </w:fldSimple>
      <w:bookmarkEnd w:id="5"/>
      <w:r>
        <w:t xml:space="preserve">: Treibhausgasemissionen zweier </w:t>
      </w:r>
      <w:proofErr w:type="spellStart"/>
      <w:r>
        <w:t>Ethanolkonzepte</w:t>
      </w:r>
      <w:proofErr w:type="spellEnd"/>
      <w:r>
        <w:t xml:space="preserve"> gegenüber der fossilen Referenz (</w:t>
      </w:r>
      <w:r w:rsidR="00542DEF">
        <w:t xml:space="preserve">DBFZ, </w:t>
      </w:r>
      <w:r>
        <w:t>eigene Darstellung)</w:t>
      </w:r>
    </w:p>
    <w:p w:rsidR="00CE49C0" w:rsidRPr="00891100" w:rsidRDefault="00CE49C0" w:rsidP="00891100"/>
    <w:p w:rsidR="00114CD2" w:rsidRDefault="00114CD2" w:rsidP="002068CE">
      <w:pPr>
        <w:pStyle w:val="berschrift2"/>
      </w:pPr>
      <w:r w:rsidRPr="002068CE">
        <w:t>Bi</w:t>
      </w:r>
      <w:r w:rsidR="009F79DE">
        <w:t>okraftstoffe für die Luftfahrt</w:t>
      </w:r>
    </w:p>
    <w:p w:rsidR="002B48C9" w:rsidRPr="00CE49C0" w:rsidRDefault="009F79DE" w:rsidP="0027443F">
      <w:r>
        <w:t xml:space="preserve">Insbesondere für die Luftfahrt besteht aufgrund Emissionsminderungszielen und speziellen Anforderungen an die Kraftstoffeigenschaften </w:t>
      </w:r>
      <w:r w:rsidR="0027443F">
        <w:t>(</w:t>
      </w:r>
      <w:r w:rsidR="009D5C7F">
        <w:fldChar w:fldCharType="begin"/>
      </w:r>
      <w:r w:rsidR="0027443F">
        <w:instrText xml:space="preserve"> REF _Ref390259734 \h </w:instrText>
      </w:r>
      <w:r w:rsidR="009D5C7F">
        <w:fldChar w:fldCharType="separate"/>
      </w:r>
      <w:r w:rsidR="000462A7">
        <w:t xml:space="preserve">Abbildung </w:t>
      </w:r>
      <w:r w:rsidR="000462A7">
        <w:rPr>
          <w:noProof/>
        </w:rPr>
        <w:t>7</w:t>
      </w:r>
      <w:r w:rsidR="009D5C7F">
        <w:fldChar w:fldCharType="end"/>
      </w:r>
      <w:r w:rsidR="0027443F">
        <w:t xml:space="preserve">) </w:t>
      </w:r>
      <w:r>
        <w:t>ein großes Interes</w:t>
      </w:r>
      <w:r w:rsidR="0027443F">
        <w:t xml:space="preserve">se an Alternativen zu konventionellen Treibstoffen. Diese alternativen Treibstoffe können durch Konversion von pflanzenölbasierten (HVO) oder </w:t>
      </w:r>
      <w:proofErr w:type="spellStart"/>
      <w:r w:rsidR="0027443F">
        <w:t>lignozellulosehaltigen</w:t>
      </w:r>
      <w:proofErr w:type="spellEnd"/>
      <w:r w:rsidR="0027443F">
        <w:t xml:space="preserve"> (</w:t>
      </w:r>
      <w:proofErr w:type="spellStart"/>
      <w:r w:rsidR="0027443F">
        <w:t>BtL</w:t>
      </w:r>
      <w:proofErr w:type="spellEnd"/>
      <w:r w:rsidR="0027443F">
        <w:t xml:space="preserve">) Rohstoffen auch schon kurzfristig (HVO) bereitgestellt werden. Hierfür sind die gesamten Bereitstellungsketten nach ihren technischen, wirtschaftlichen und ökologischen Folgen zu analysieren. Zukünftige </w:t>
      </w:r>
      <w:r w:rsidR="005974A9" w:rsidRPr="00CE49C0">
        <w:t xml:space="preserve">Bioraffineriekonzepte </w:t>
      </w:r>
      <w:r w:rsidR="0027443F">
        <w:t xml:space="preserve">könnten dann </w:t>
      </w:r>
      <w:r w:rsidR="005974A9" w:rsidRPr="00CE49C0">
        <w:t>speziell auf einen hohen Ertrag an Flugturbinenkraftstoffen</w:t>
      </w:r>
      <w:r w:rsidR="0027443F" w:rsidRPr="0027443F">
        <w:t xml:space="preserve"> </w:t>
      </w:r>
      <w:r w:rsidR="0027443F" w:rsidRPr="00CE49C0">
        <w:t>ausgelegt</w:t>
      </w:r>
      <w:r w:rsidR="0027443F">
        <w:t xml:space="preserve"> werden.</w:t>
      </w:r>
    </w:p>
    <w:p w:rsidR="0027443F" w:rsidRDefault="00CE49C0" w:rsidP="0027443F">
      <w:pPr>
        <w:keepNext/>
      </w:pPr>
      <w:r w:rsidRPr="00CE49C0">
        <w:rPr>
          <w:noProof/>
          <w:lang w:eastAsia="de-DE"/>
        </w:rPr>
        <w:lastRenderedPageBreak/>
        <w:drawing>
          <wp:inline distT="0" distB="0" distL="0" distR="0">
            <wp:extent cx="5760720" cy="2584447"/>
            <wp:effectExtent l="0" t="0" r="0" b="698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584447"/>
                    </a:xfrm>
                    <a:prstGeom prst="rect">
                      <a:avLst/>
                    </a:prstGeom>
                    <a:noFill/>
                    <a:ln>
                      <a:noFill/>
                    </a:ln>
                  </pic:spPr>
                </pic:pic>
              </a:graphicData>
            </a:graphic>
          </wp:inline>
        </w:drawing>
      </w:r>
    </w:p>
    <w:p w:rsidR="00891100" w:rsidRDefault="0027443F" w:rsidP="0027443F">
      <w:pPr>
        <w:pStyle w:val="Beschriftung"/>
      </w:pPr>
      <w:bookmarkStart w:id="6" w:name="_Ref390259734"/>
      <w:r>
        <w:t xml:space="preserve">Abbildung </w:t>
      </w:r>
      <w:fldSimple w:instr=" SEQ Abbildung \* ARABIC ">
        <w:r w:rsidR="000462A7">
          <w:rPr>
            <w:noProof/>
          </w:rPr>
          <w:t>7</w:t>
        </w:r>
      </w:fldSimple>
      <w:bookmarkEnd w:id="6"/>
      <w:r>
        <w:t>: Möglichkeiten der Bereitstellung von Kraftstoffen für die Luftfahrt (</w:t>
      </w:r>
      <w:r w:rsidR="00EC426A">
        <w:t xml:space="preserve">DBFZ, </w:t>
      </w:r>
      <w:r>
        <w:t>eigene Darstellung)</w:t>
      </w:r>
    </w:p>
    <w:p w:rsidR="00114CD2" w:rsidRDefault="0027443F" w:rsidP="002068CE">
      <w:pPr>
        <w:pStyle w:val="berschrift2"/>
      </w:pPr>
      <w:r>
        <w:t>Integrierte Wärmeerzeugung</w:t>
      </w:r>
    </w:p>
    <w:p w:rsidR="00891100" w:rsidRPr="00891100" w:rsidRDefault="00CE49C0" w:rsidP="00CE49C0">
      <w:r w:rsidRPr="00CE49C0">
        <w:t xml:space="preserve">Derzeitige Anlagen </w:t>
      </w:r>
      <w:r w:rsidR="0027443F">
        <w:t xml:space="preserve">zur Wärmeerzeugung </w:t>
      </w:r>
      <w:r w:rsidR="007E711C">
        <w:t xml:space="preserve">aus Biomasse </w:t>
      </w:r>
      <w:r w:rsidRPr="00CE49C0">
        <w:t>haben einen Systemnutzungsgrad von durchschnittlich nur rund 70 – 80 %</w:t>
      </w:r>
      <w:r w:rsidR="0027443F">
        <w:t xml:space="preserve">. </w:t>
      </w:r>
      <w:r w:rsidR="005706B7">
        <w:t>Zukünftig könnten i</w:t>
      </w:r>
      <w:r>
        <w:t>ntelligente Regelung</w:t>
      </w:r>
      <w:r w:rsidR="005706B7">
        <w:t>stechniken</w:t>
      </w:r>
      <w:r>
        <w:t xml:space="preserve"> von </w:t>
      </w:r>
      <w:r w:rsidR="007E711C">
        <w:t xml:space="preserve">unter anderem Kombinationen aus Solarthermie oder </w:t>
      </w:r>
      <w:r>
        <w:t xml:space="preserve">Wärmespeicher und </w:t>
      </w:r>
      <w:r w:rsidR="009B068F">
        <w:t xml:space="preserve">effizienter Biomasseverbrennung </w:t>
      </w:r>
      <w:r>
        <w:t>basierend auf</w:t>
      </w:r>
      <w:r w:rsidR="005706B7">
        <w:t xml:space="preserve"> zum Beispiel </w:t>
      </w:r>
      <w:r>
        <w:t>Wettervorhersage aus dem Internet</w:t>
      </w:r>
      <w:r w:rsidR="005706B7">
        <w:t xml:space="preserve">; </w:t>
      </w:r>
      <w:r>
        <w:t>Nutzerverhalten aus der Erfahrung</w:t>
      </w:r>
      <w:r w:rsidR="005706B7">
        <w:t xml:space="preserve"> oder dem spezifischen</w:t>
      </w:r>
      <w:r>
        <w:t xml:space="preserve"> Anlagenverhalten</w:t>
      </w:r>
      <w:r w:rsidR="005706B7">
        <w:t xml:space="preserve"> den </w:t>
      </w:r>
      <w:r>
        <w:t xml:space="preserve">Systemnutzungsgrad </w:t>
      </w:r>
      <w:r w:rsidR="005706B7">
        <w:t xml:space="preserve">bis </w:t>
      </w:r>
      <w:r>
        <w:t>auf 90% steigern</w:t>
      </w:r>
      <w:r w:rsidR="005706B7">
        <w:t>.</w:t>
      </w:r>
    </w:p>
    <w:p w:rsidR="009A0EF9" w:rsidRDefault="00D7668E" w:rsidP="002068CE">
      <w:pPr>
        <w:pStyle w:val="berschrift2"/>
      </w:pPr>
      <w:r>
        <w:t>Weiterentwicklung b</w:t>
      </w:r>
      <w:r w:rsidR="00114CD2" w:rsidRPr="002068CE">
        <w:t>edarfsorientierte Nachfragedeckung</w:t>
      </w:r>
    </w:p>
    <w:p w:rsidR="006E6EF7" w:rsidRDefault="00F949F3" w:rsidP="00891100">
      <w:r>
        <w:t xml:space="preserve">Der </w:t>
      </w:r>
      <w:r w:rsidR="00CE49C0" w:rsidRPr="00CE49C0">
        <w:t xml:space="preserve">Anteil an fluktuierender </w:t>
      </w:r>
      <w:r w:rsidR="00D7668E">
        <w:t xml:space="preserve">Strombereitstellung </w:t>
      </w:r>
      <w:r w:rsidR="005024AB">
        <w:t xml:space="preserve">nimmt </w:t>
      </w:r>
      <w:r>
        <w:t>stetig zu</w:t>
      </w:r>
      <w:r w:rsidR="00CE49C0" w:rsidRPr="00CE49C0">
        <w:t xml:space="preserve"> </w:t>
      </w:r>
      <w:r>
        <w:t xml:space="preserve">und </w:t>
      </w:r>
      <w:r w:rsidR="005024AB">
        <w:t xml:space="preserve">wird </w:t>
      </w:r>
      <w:proofErr w:type="spellStart"/>
      <w:r>
        <w:t>erwartbar</w:t>
      </w:r>
      <w:proofErr w:type="spellEnd"/>
      <w:r>
        <w:t xml:space="preserve"> weiter zunehmen </w:t>
      </w:r>
      <w:r w:rsidR="00CE49C0" w:rsidRPr="00CE49C0">
        <w:t xml:space="preserve">(z.B. </w:t>
      </w:r>
      <w:r w:rsidR="007E711C">
        <w:t xml:space="preserve">Langfristszenarien </w:t>
      </w:r>
      <w:r w:rsidR="009D5C7F">
        <w:fldChar w:fldCharType="begin"/>
      </w:r>
      <w:r w:rsidR="007E711C">
        <w:instrText xml:space="preserve"> ADDIN ZOTERO_ITEM CSL_CITATION {"citationID":"1dvc8ft3rr","properties":{"formattedCitation":"{\\rtf (\\scaps Nitsch \\scaps0{}u. a.\\scaps{}\\scaps0{}, 2012)}","plainCitation":"(Nitsch u. a., 2012)"},"citationItems":[{"id":4797,"uris":["http://zotero.org/groups/74766/items/6WD6RRN7"],"uri":["http://zotero.org/groups/74766/items/6WD6RRN7"],"itemData":{"id":4797,"type":"article","title":"Langfristszenarien und Strategien für den Ausbau der erneuerbaren Energien in Deutschland bei Berücksichtigung der Entwicklung in Europa und global. Schlussbericht BMU - FKZ 03MAP146","author":[{"family":"Nitsch","given":"Joachim"},{"family":"Pregger","given":"Thomas"},{"family":"Naegler","given":"Tobias"},{"family":"Heide","given":"Dominik"},{"family":"Gerhardt","given":"Norman"},{"family":"Sterner","given":"Michael"},{"family":"Trost","given":"Tobias"},{"family":"Wenzel","given":"Bernd"},{"family":"Luca de Tena","given":"Diego"},{"family":"Trieb","given":"Franz"},{"family":"Scholz","given":"Yvonne"},{"family":"Nienhaus","given":"Kristina"},{"family":"von Oehsen","given":"Amany"},{"family":"Schwinn","given":"Rainer"}],"issued":{"date-parts":[["2012"]]}}}],"schema":"https://github.com/citation-style-language/schema/raw/master/csl-citation.json"} </w:instrText>
      </w:r>
      <w:r w:rsidR="009D5C7F">
        <w:fldChar w:fldCharType="separate"/>
      </w:r>
      <w:r w:rsidR="001F0DA8" w:rsidRPr="001F0DA8">
        <w:rPr>
          <w:rFonts w:cs="Times New Roman"/>
          <w:szCs w:val="24"/>
        </w:rPr>
        <w:t>(</w:t>
      </w:r>
      <w:r w:rsidR="001F0DA8" w:rsidRPr="001F0DA8">
        <w:rPr>
          <w:rFonts w:cs="Times New Roman"/>
          <w:smallCaps/>
          <w:szCs w:val="24"/>
        </w:rPr>
        <w:t xml:space="preserve">Nitsch </w:t>
      </w:r>
      <w:r w:rsidR="001F0DA8" w:rsidRPr="001F0DA8">
        <w:rPr>
          <w:rFonts w:cs="Times New Roman"/>
          <w:szCs w:val="24"/>
        </w:rPr>
        <w:t>u. a., 2012)</w:t>
      </w:r>
      <w:r w:rsidR="009D5C7F">
        <w:fldChar w:fldCharType="end"/>
      </w:r>
      <w:r w:rsidR="00CE49C0">
        <w:t xml:space="preserve"> </w:t>
      </w:r>
      <w:r w:rsidR="007E711C">
        <w:t xml:space="preserve">Szenario </w:t>
      </w:r>
      <w:r w:rsidR="00CE49C0">
        <w:t xml:space="preserve">2011A: 74% in 2050). </w:t>
      </w:r>
      <w:r w:rsidR="005024AB">
        <w:t xml:space="preserve">Dies würde ohne Ausgleichsmaßnahen zu </w:t>
      </w:r>
      <w:r w:rsidR="006E6EF7">
        <w:t xml:space="preserve">positiven und negativen </w:t>
      </w:r>
      <w:r w:rsidR="005024AB">
        <w:t xml:space="preserve">Abweichungen </w:t>
      </w:r>
      <w:r w:rsidR="006E6EF7">
        <w:t>(</w:t>
      </w:r>
      <w:r w:rsidR="009D5C7F">
        <w:fldChar w:fldCharType="begin"/>
      </w:r>
      <w:r w:rsidR="006E6EF7">
        <w:instrText xml:space="preserve"> REF _Ref390336209 \h </w:instrText>
      </w:r>
      <w:r w:rsidR="009D5C7F">
        <w:fldChar w:fldCharType="separate"/>
      </w:r>
      <w:r w:rsidR="000462A7">
        <w:t xml:space="preserve">Abbildung </w:t>
      </w:r>
      <w:r w:rsidR="000462A7">
        <w:rPr>
          <w:noProof/>
        </w:rPr>
        <w:t>8</w:t>
      </w:r>
      <w:r w:rsidR="009D5C7F">
        <w:fldChar w:fldCharType="end"/>
      </w:r>
      <w:r w:rsidR="006E6EF7">
        <w:t xml:space="preserve">) </w:t>
      </w:r>
      <w:r w:rsidR="005024AB">
        <w:t xml:space="preserve">zwischen </w:t>
      </w:r>
      <w:r w:rsidR="00D7668E">
        <w:t>A</w:t>
      </w:r>
      <w:r w:rsidR="006E6EF7">
        <w:t>ngebot</w:t>
      </w:r>
      <w:r w:rsidR="00D7668E">
        <w:t>en</w:t>
      </w:r>
      <w:r w:rsidR="006E6EF7">
        <w:t xml:space="preserve"> und </w:t>
      </w:r>
      <w:r w:rsidR="00D7668E">
        <w:t xml:space="preserve">Lasten </w:t>
      </w:r>
      <w:r w:rsidR="006E6EF7">
        <w:t xml:space="preserve">führen. </w:t>
      </w:r>
    </w:p>
    <w:p w:rsidR="00F949F3" w:rsidRDefault="00CE49C0" w:rsidP="00F949F3">
      <w:pPr>
        <w:keepNext/>
      </w:pPr>
      <w:r w:rsidRPr="00CE49C0">
        <w:rPr>
          <w:noProof/>
          <w:lang w:eastAsia="de-DE"/>
        </w:rPr>
        <w:drawing>
          <wp:inline distT="0" distB="0" distL="0" distR="0">
            <wp:extent cx="4387850" cy="2657898"/>
            <wp:effectExtent l="0" t="0" r="0"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26" t="1215" r="1185" b="1217"/>
                    <a:stretch/>
                  </pic:blipFill>
                  <pic:spPr bwMode="auto">
                    <a:xfrm>
                      <a:off x="0" y="0"/>
                      <a:ext cx="4402825" cy="26669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E49C0" w:rsidRDefault="00F949F3" w:rsidP="00F949F3">
      <w:pPr>
        <w:pStyle w:val="Beschriftung"/>
      </w:pPr>
      <w:bookmarkStart w:id="7" w:name="_Ref390336209"/>
      <w:r>
        <w:t xml:space="preserve">Abbildung </w:t>
      </w:r>
      <w:fldSimple w:instr=" SEQ Abbildung \* ARABIC ">
        <w:r w:rsidR="000462A7">
          <w:rPr>
            <w:noProof/>
          </w:rPr>
          <w:t>8</w:t>
        </w:r>
      </w:fldSimple>
      <w:bookmarkEnd w:id="7"/>
      <w:r w:rsidR="006E6EF7">
        <w:rPr>
          <w:noProof/>
        </w:rPr>
        <w:t>:</w:t>
      </w:r>
      <w:r>
        <w:t xml:space="preserve"> </w:t>
      </w:r>
      <w:proofErr w:type="spellStart"/>
      <w:r w:rsidR="00CE49C0" w:rsidRPr="00CE49C0">
        <w:t>Netzlast</w:t>
      </w:r>
      <w:proofErr w:type="spellEnd"/>
      <w:r w:rsidR="00CE49C0" w:rsidRPr="00CE49C0">
        <w:t xml:space="preserve"> (</w:t>
      </w:r>
      <w:r w:rsidR="006E6EF7">
        <w:t xml:space="preserve">2 ausgewählte Tage in </w:t>
      </w:r>
      <w:r w:rsidR="00CE49C0" w:rsidRPr="00CE49C0">
        <w:t>2010) und Einspeisung von fluktuierenden Wind und PV Anlagen</w:t>
      </w:r>
      <w:r w:rsidR="00CE49C0">
        <w:t xml:space="preserve"> (</w:t>
      </w:r>
      <w:r w:rsidR="00CE49C0" w:rsidRPr="00CE49C0">
        <w:t>Quelle: eigene Darstellung auf Basis Daten von 50 Hz Transmission GmbH</w:t>
      </w:r>
      <w:r w:rsidR="00CE49C0">
        <w:t>)</w:t>
      </w:r>
      <w:r w:rsidR="00CE49C0" w:rsidRPr="00CE49C0">
        <w:t xml:space="preserve"> </w:t>
      </w:r>
    </w:p>
    <w:p w:rsidR="00D7668E" w:rsidRDefault="00D7668E" w:rsidP="00D7668E">
      <w:r>
        <w:lastRenderedPageBreak/>
        <w:t xml:space="preserve">Die flexible Fahrweise von insbesondere </w:t>
      </w:r>
      <w:r w:rsidRPr="00CE49C0">
        <w:t>Biogas</w:t>
      </w:r>
      <w:r>
        <w:t xml:space="preserve">anlagen (andere Technologien siehe z. B. </w:t>
      </w:r>
      <w:r w:rsidR="009D5C7F">
        <w:fldChar w:fldCharType="begin"/>
      </w:r>
      <w:r>
        <w:instrText xml:space="preserve"> ADDIN ZOTERO_ITEM CSL_CITATION {"citationID":"1gvvbhqmvu","properties":{"formattedCitation":"{\\rtf (\\scaps FNR\\scaps0{}, 2014)}","plainCitation":"(FNR, 2014)"},"citationItems":[{"id":99,"uris":["http://zotero.org/groups/74766/items/FXCAVT8B"],"uri":["http://zotero.org/groups/74766/items/FXCAVT8B"],"itemData":{"id":99,"type":"book","title":"Einsatz von Biomasse zur bedarfsgerechten Energieerzeugung","collection-title":"Schriftenreihe Nachwachsende Rohstoffe","publisher":"Fachagentur Nachwachsende Rohstoffe","volume":"32","ISBN":"978-3-942147-16-3","editor":[{"family":"FNR","given":""}],"issued":{"date-parts":[["2014"]]}}}],"schema":"https://github.com/citation-style-language/schema/raw/master/csl-citation.json"} </w:instrText>
      </w:r>
      <w:r w:rsidR="009D5C7F">
        <w:fldChar w:fldCharType="separate"/>
      </w:r>
      <w:r w:rsidR="001F0DA8" w:rsidRPr="001F0DA8">
        <w:rPr>
          <w:rFonts w:cs="Times New Roman"/>
          <w:szCs w:val="24"/>
        </w:rPr>
        <w:t>(</w:t>
      </w:r>
      <w:r w:rsidR="001F0DA8" w:rsidRPr="001F0DA8">
        <w:rPr>
          <w:rFonts w:cs="Times New Roman"/>
          <w:smallCaps/>
          <w:szCs w:val="24"/>
        </w:rPr>
        <w:t>FNR</w:t>
      </w:r>
      <w:r w:rsidR="001F0DA8" w:rsidRPr="001F0DA8">
        <w:rPr>
          <w:rFonts w:cs="Times New Roman"/>
          <w:szCs w:val="24"/>
        </w:rPr>
        <w:t>, 2014)</w:t>
      </w:r>
      <w:r w:rsidR="009D5C7F">
        <w:fldChar w:fldCharType="end"/>
      </w:r>
      <w:r>
        <w:t>) bietet</w:t>
      </w:r>
      <w:r w:rsidRPr="00CE49C0">
        <w:t xml:space="preserve"> </w:t>
      </w:r>
      <w:r>
        <w:t>technisch prinzipiell eine Vielzahl an</w:t>
      </w:r>
      <w:r w:rsidR="004E18C5">
        <w:t xml:space="preserve"> Möglichkeiten, die Strombereitstellung anzupassen beziehungsweise zu verlagern </w:t>
      </w:r>
      <w:r>
        <w:t>(</w:t>
      </w:r>
      <w:r w:rsidR="009D5C7F">
        <w:fldChar w:fldCharType="begin"/>
      </w:r>
      <w:r>
        <w:instrText xml:space="preserve"> REF _Ref390337608 \h </w:instrText>
      </w:r>
      <w:r w:rsidR="009D5C7F">
        <w:fldChar w:fldCharType="separate"/>
      </w:r>
      <w:r w:rsidR="000462A7">
        <w:t xml:space="preserve">Abbildung </w:t>
      </w:r>
      <w:r w:rsidR="000462A7">
        <w:rPr>
          <w:noProof/>
        </w:rPr>
        <w:t>9</w:t>
      </w:r>
      <w:r w:rsidR="009D5C7F">
        <w:fldChar w:fldCharType="end"/>
      </w:r>
      <w:r w:rsidR="004E18C5">
        <w:t>)</w:t>
      </w:r>
      <w:r>
        <w:t>.</w:t>
      </w:r>
      <w:r w:rsidR="004E18C5">
        <w:t xml:space="preserve"> Hierfür sind jedoch zusätzliche technische Anforderungen, wie zum Beispiel Installation von Steuerungstechnik, Gasspeichern oder BHKW-Kapazität, zu erfüllen. Diese haben wiederum unterschiedliche Wirkungen auf die Stromgestehungskosten. Erhöhte Stromgestehungskosten müssen anlagenspezifisch den möglichen Erlösen gegenübergestellt werden.</w:t>
      </w:r>
    </w:p>
    <w:p w:rsidR="00D7668E" w:rsidRDefault="005974A9" w:rsidP="00D7668E">
      <w:pPr>
        <w:keepNext/>
      </w:pPr>
      <w:r w:rsidRPr="005974A9">
        <w:rPr>
          <w:noProof/>
          <w:lang w:eastAsia="de-DE"/>
        </w:rPr>
        <w:drawing>
          <wp:inline distT="0" distB="0" distL="0" distR="0">
            <wp:extent cx="5760720" cy="3277142"/>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277142"/>
                    </a:xfrm>
                    <a:prstGeom prst="rect">
                      <a:avLst/>
                    </a:prstGeom>
                    <a:noFill/>
                    <a:ln>
                      <a:noFill/>
                    </a:ln>
                  </pic:spPr>
                </pic:pic>
              </a:graphicData>
            </a:graphic>
          </wp:inline>
        </w:drawing>
      </w:r>
    </w:p>
    <w:p w:rsidR="00806943" w:rsidRDefault="00D7668E" w:rsidP="009B068F">
      <w:pPr>
        <w:pStyle w:val="Beschriftung"/>
      </w:pPr>
      <w:bookmarkStart w:id="8" w:name="_Ref390337608"/>
      <w:r>
        <w:t xml:space="preserve">Abbildung </w:t>
      </w:r>
      <w:fldSimple w:instr=" SEQ Abbildung \* ARABIC ">
        <w:r w:rsidR="000462A7">
          <w:rPr>
            <w:noProof/>
          </w:rPr>
          <w:t>9</w:t>
        </w:r>
      </w:fldSimple>
      <w:bookmarkEnd w:id="8"/>
      <w:r>
        <w:t>: Ausgleichsoptionen und erforderliche Anpassungen von Biogasanlagen</w:t>
      </w:r>
      <w:r w:rsidR="009B068F">
        <w:t xml:space="preserve"> (Quelle: eigene Darstellung)</w:t>
      </w:r>
    </w:p>
    <w:p w:rsidR="00A333A2" w:rsidRDefault="00120F09" w:rsidP="00806943">
      <w:pPr>
        <w:pStyle w:val="berschrift2"/>
      </w:pPr>
      <w:r>
        <w:t>Nachhaltigkeitsanforderungen an die Biomassebereitstellung</w:t>
      </w:r>
    </w:p>
    <w:p w:rsidR="001E3B5C" w:rsidRPr="001E3B5C" w:rsidRDefault="00120F09" w:rsidP="00120F09">
      <w:r w:rsidRPr="00D84CA8">
        <w:t>Bioenergie wird neben organischen Reststoffen und Abfällen und Holz auch aus Energiepflanzen produziert. Damit sind verschiedene Risiken verbunden</w:t>
      </w:r>
      <w:r>
        <w:t xml:space="preserve">. </w:t>
      </w:r>
    </w:p>
    <w:p w:rsidR="00770C5E" w:rsidRPr="00B158A0" w:rsidRDefault="00665C38" w:rsidP="00D84CA8">
      <w:r w:rsidRPr="00D84CA8">
        <w:t>Der Energiepflanzenanbau ist eng mit der Praxis der Agrarproduktion  verbunden und nimmt nach Schätzungen der FAO rund 2% der global genutzten Agrarflächen in Anspruch. Dennoch konkurriert die Nutzung von Biomasse zur Energiebereitstellung vor Ort mit den anderen Versorgungsleistungen der Ökosysteme wie z.B. der Nahrungsmittelproduktion. Die Nutzungsintensivierung auf landwirtschaftlichen Flächen in Deutschland ist auch mit der Aufgabe von land</w:t>
      </w:r>
      <w:r w:rsidRPr="00D84CA8">
        <w:softHyphen/>
        <w:t>wirtschaftlichen Bra</w:t>
      </w:r>
      <w:r w:rsidRPr="00D84CA8">
        <w:softHyphen/>
        <w:t xml:space="preserve">chen und artenreichem Grünland verbunden. </w:t>
      </w:r>
      <w:r w:rsidR="00770C5E" w:rsidRPr="00D84CA8">
        <w:t>Die energiepolitische Steuerung einer umweltver</w:t>
      </w:r>
      <w:r w:rsidR="00770C5E" w:rsidRPr="00D84CA8">
        <w:softHyphen/>
        <w:t>träg</w:t>
      </w:r>
      <w:r w:rsidR="00770C5E" w:rsidRPr="00D84CA8">
        <w:softHyphen/>
        <w:t xml:space="preserve">lichen Bereitstellung von Energiepflanzen/Energieholz führt zu direkten und indirekten Landnutzungsänderungen </w:t>
      </w:r>
      <w:r w:rsidR="009D5C7F" w:rsidRPr="00D84CA8">
        <w:fldChar w:fldCharType="begin"/>
      </w:r>
      <w:r w:rsidR="008E3FD9">
        <w:instrText xml:space="preserve"> ADDIN ZOTERO_ITEM CSL_CITATION {"citationID":"aqDg5z8T","properties":{"formattedCitation":"{\\rtf (\\scaps Edwards \\scaps0{}u. a.\\scaps{}\\scaps0{}, 2010; \\scaps Europ\\uc0\\u228{}ische Kommission\\scaps0{}, 2008; \\scaps Kretschmer\\scaps0{}, 2011; \\scaps Van Stappen \\scaps0{}u. a.\\scaps{}\\scaps0{}, 2011)}","plainCitation":"(Edwards u. a., 2010; Europäische Kommission, 2008; Kretschmer, 2011; Van Stappen u. a., 2011)"},"citationItems":[{"id":32,"uris":["http://zotero.org/groups/26909/items/DZVJ4BBA"],"uri":["http://zotero.org/groups/26909/items/DZVJ4BBA"],"itemData":{"id":32,"type":"report","title":"Indirect Land Use Change from increased biofuels demand - Comparison of models and results for marginal biofuels production from different feedstocks","collection-title":"JRC Scientific and Technical Reports","publisher":"European Commission, Joint Research Centre – Institute for Energy","publisher-place":"Luxembourg","event-place":"Luxembourg","URL":"http://ec.europa.eu/energy/renewables/consultations/doc/public_consultation_iluc/study_4_iluc_modelling_comparison.pdf","call-number":"DOI 10.2788/54137","number":"EUR 24485 EN","author":[{"family":"Edwards","given":"R"},{"family":"Mulligan","given":"D"},{"family":"Marelli","given":"L"}],"issued":{"date-parts":[["2010"]]}},"label":"page"},{"id":117,"uris":["http://zotero.org/groups/74766/items/5CTMZ8M7"],"uri":["http://zotero.org/groups/74766/items/5CTMZ8M7"],"itemData":{"id":117,"type":"article","title":"Vorschlag für eine Richtlinie des Europäischen Parlaments und des Rates zur Förderung der Nutzung von Energie aus erneuerbaren Quellen (von der Kommission vorgelegt). KOM(2008) 30 endgültig - SEK(2008) 57 - SEK(2008) 85, Brüssel","author":[{"family":"Europäische Kommission","given":""}],"issued":{"date-parts":[["2008"]]}},"label":"page"},{"id":110,"uris":["http://zotero.org/groups/74766/items/UANZZKZ6"],"uri":["http://zotero.org/groups/74766/items/UANZZKZ6"],"itemData":{"id":110,"type":"article","title":"The Land-use implications of EU Bioenergy Policy. Going beyond ILUC","author":[{"family":"Kretschmer","given":"Bettina"}],"issued":{"date-parts":[["2011"]]}},"label":"page"},{"id":111,"uris":["http://zotero.org/groups/74766/items/2BZ3K5KS"],"uri":["http://zotero.org/groups/74766/items/2BZ3K5KS"],"itemData":{"id":111,"type":"article-journal","title":"Direct and indirect land use changes issues in European sustainability initiatives: State-of-the-art, open issues and future developments","container-title":"Biomass and Bioenergy","page":"4824-4834","volume":"35","issue":"12","author":[{"family":"Van Stappen","given":"F"},{"family":"Brose","given":"I."},{"family":"Schenkel","given":"Y."}],"issued":{"date-parts":[["2011"]]}},"label":"page"}],"schema":"https://github.com/citation-style-language/schema/raw/master/csl-citation.json"} </w:instrText>
      </w:r>
      <w:r w:rsidR="009D5C7F" w:rsidRPr="00D84CA8">
        <w:fldChar w:fldCharType="separate"/>
      </w:r>
      <w:r w:rsidR="001F0DA8" w:rsidRPr="001F0DA8">
        <w:rPr>
          <w:rFonts w:cs="Times New Roman"/>
          <w:szCs w:val="24"/>
        </w:rPr>
        <w:t>(</w:t>
      </w:r>
      <w:r w:rsidR="001F0DA8" w:rsidRPr="001F0DA8">
        <w:rPr>
          <w:rFonts w:cs="Times New Roman"/>
          <w:smallCaps/>
          <w:szCs w:val="24"/>
        </w:rPr>
        <w:t xml:space="preserve">Edwards </w:t>
      </w:r>
      <w:r w:rsidR="001F0DA8" w:rsidRPr="001F0DA8">
        <w:rPr>
          <w:rFonts w:cs="Times New Roman"/>
          <w:szCs w:val="24"/>
        </w:rPr>
        <w:t xml:space="preserve">u. a., 2010; </w:t>
      </w:r>
      <w:r w:rsidR="001F0DA8" w:rsidRPr="001F0DA8">
        <w:rPr>
          <w:rFonts w:cs="Times New Roman"/>
          <w:smallCaps/>
          <w:szCs w:val="24"/>
        </w:rPr>
        <w:t>Europäische Kommission</w:t>
      </w:r>
      <w:r w:rsidR="001F0DA8" w:rsidRPr="001F0DA8">
        <w:rPr>
          <w:rFonts w:cs="Times New Roman"/>
          <w:szCs w:val="24"/>
        </w:rPr>
        <w:t xml:space="preserve">, 2008; </w:t>
      </w:r>
      <w:r w:rsidR="001F0DA8" w:rsidRPr="001F0DA8">
        <w:rPr>
          <w:rFonts w:cs="Times New Roman"/>
          <w:smallCaps/>
          <w:szCs w:val="24"/>
        </w:rPr>
        <w:t>Kretschmer</w:t>
      </w:r>
      <w:r w:rsidR="001F0DA8" w:rsidRPr="001F0DA8">
        <w:rPr>
          <w:rFonts w:cs="Times New Roman"/>
          <w:szCs w:val="24"/>
        </w:rPr>
        <w:t xml:space="preserve">, 2011; </w:t>
      </w:r>
      <w:r w:rsidR="001F0DA8" w:rsidRPr="001F0DA8">
        <w:rPr>
          <w:rFonts w:cs="Times New Roman"/>
          <w:smallCaps/>
          <w:szCs w:val="24"/>
        </w:rPr>
        <w:t xml:space="preserve">Van Stappen </w:t>
      </w:r>
      <w:r w:rsidR="001F0DA8" w:rsidRPr="001F0DA8">
        <w:rPr>
          <w:rFonts w:cs="Times New Roman"/>
          <w:szCs w:val="24"/>
        </w:rPr>
        <w:t>u. a., 2011)</w:t>
      </w:r>
      <w:r w:rsidR="009D5C7F" w:rsidRPr="00D84CA8">
        <w:fldChar w:fldCharType="end"/>
      </w:r>
      <w:r w:rsidR="00770C5E" w:rsidRPr="00D84CA8">
        <w:t>. Neben den Effekten auf die heimischen Flächen können bei Verlagerung der Nahrungsmittelproduktion in andere Regionen und/oder</w:t>
      </w:r>
      <w:r w:rsidR="00770C5E" w:rsidRPr="00B158A0">
        <w:t xml:space="preserve"> der Nutzung von importierter Biomasse auch transnational Umwelteffekte ausgelöst werden. </w:t>
      </w:r>
    </w:p>
    <w:p w:rsidR="00665C38" w:rsidRPr="00277374" w:rsidRDefault="00665C38" w:rsidP="00B158A0">
      <w:r w:rsidRPr="00277374">
        <w:t xml:space="preserve">Nachhaltigkeitsstandards sind für Teilbereiche (Biokraftstoffe, Strombereitstellung aus flüssigen Bioenergieträgern) verabschiedet; sie sanktionieren die Energiepflanzenproduktion </w:t>
      </w:r>
      <w:r w:rsidRPr="00277374">
        <w:lastRenderedPageBreak/>
        <w:t xml:space="preserve">auf Flächen mit hoher Biodiversität oder hohem Kohlenstoffanteil, und fordern die Einhaltung der guten landwirtschaftlichen Praxis und einen Mindestbeitrag zum Klimaschutz </w:t>
      </w:r>
      <w:r w:rsidR="009D5C7F">
        <w:fldChar w:fldCharType="begin"/>
      </w:r>
      <w:r w:rsidR="008E3FD9">
        <w:instrText xml:space="preserve"> ADDIN ZOTERO_ITEM CSL_CITATION {"citationID":"123p1o44h3","properties":{"formattedCitation":"{\\rtf (\\scaps Europ\\uc0\\u228{}ische Kommission\\scaps0{}, 2008)}","plainCitation":"(Europäische Kommission, 2008)"},"citationItems":[{"id":117,"uris":["http://zotero.org/groups/74766/items/5CTMZ8M7"],"uri":["http://zotero.org/groups/74766/items/5CTMZ8M7"],"itemData":{"id":117,"type":"article","title":"Vorschlag für eine Richtlinie des Europäischen Parlaments und des Rates zur Förderung der Nutzung von Energie aus erneuerbaren Quellen (von der Kommission vorgelegt). KOM(2008) 30 endgültig - SEK(2008) 57 - SEK(2008) 85, Brüssel","author":[{"family":"Europäische Kommission","given":""}],"issued":{"date-parts":[["2008"]]}},"label":"page"}],"schema":"https://github.com/citation-style-language/schema/raw/master/csl-citation.json"} </w:instrText>
      </w:r>
      <w:r w:rsidR="009D5C7F">
        <w:fldChar w:fldCharType="separate"/>
      </w:r>
      <w:r w:rsidR="001F0DA8" w:rsidRPr="001F0DA8">
        <w:rPr>
          <w:rFonts w:cs="Times New Roman"/>
          <w:szCs w:val="24"/>
        </w:rPr>
        <w:t>(</w:t>
      </w:r>
      <w:r w:rsidR="001F0DA8" w:rsidRPr="001F0DA8">
        <w:rPr>
          <w:rFonts w:cs="Times New Roman"/>
          <w:smallCaps/>
          <w:szCs w:val="24"/>
        </w:rPr>
        <w:t>Europäische Kommission</w:t>
      </w:r>
      <w:r w:rsidR="001F0DA8" w:rsidRPr="001F0DA8">
        <w:rPr>
          <w:rFonts w:cs="Times New Roman"/>
          <w:szCs w:val="24"/>
        </w:rPr>
        <w:t>, 2008)</w:t>
      </w:r>
      <w:r w:rsidR="009D5C7F">
        <w:fldChar w:fldCharType="end"/>
      </w:r>
      <w:r w:rsidR="00C671F4">
        <w:rPr>
          <w:noProof/>
        </w:rPr>
        <w:t>.</w:t>
      </w:r>
      <w:r>
        <w:rPr>
          <w:noProof/>
        </w:rPr>
        <w:t xml:space="preserve"> Einzuhalten sind </w:t>
      </w:r>
      <w:r>
        <w:t xml:space="preserve">verbindliche </w:t>
      </w:r>
      <w:r w:rsidRPr="005974A9">
        <w:t>Treibhausgas-Minderung</w:t>
      </w:r>
      <w:r>
        <w:t xml:space="preserve">en des </w:t>
      </w:r>
      <w:proofErr w:type="spellStart"/>
      <w:r>
        <w:t>inverkehrgebrachten</w:t>
      </w:r>
      <w:proofErr w:type="spellEnd"/>
      <w:r>
        <w:t xml:space="preserve"> Biokraftstoffes von 35 % ab Inkrafttreten, 50 % ab 2017 bzw. 60 % ab 2017 für Neuinstallationen im Vergleich zum fossilen Referenzkraftstoff (Diesel oder Ottokraftstoff)</w:t>
      </w:r>
      <w:r w:rsidRPr="00277374">
        <w:t xml:space="preserve"> </w:t>
      </w:r>
      <w:r w:rsidR="009D5C7F">
        <w:fldChar w:fldCharType="begin"/>
      </w:r>
      <w:r w:rsidR="008E3FD9">
        <w:instrText xml:space="preserve"> ADDIN ZOTERO_ITEM CSL_CITATION {"citationID":"2h9nv10scu","properties":{"formattedCitation":"{\\rtf (\\scaps Europ\\uc0\\u228{}ische Kommission\\scaps0{} (idF. v. 2009))}","plainCitation":"(Europäische Kommission (idF. v. 2009))"},"citationItems":[{"id":1960,"uris":["http://zotero.org/groups/50889/items/HFWWVP63"],"uri":["http://zotero.org/groups/50889/items/HFWWVP63"],"itemData":{"id":1960,"type":"legislation","title":"Richtlinie 2009/28/EG des Europäischen Parlaments und des Rates vom 23. April 2009 zur Förderung der Nutzung von Energie aus erneuerbaren Quellen und zur Änderung und anschließenden Aufhebung der Richtlinien 2001/77/EG und 2003/30/EG","author":[{"family":"Europäische Kommission","given":""}],"issued":{"date-parts":[["2009"]]}},"label":"page"}],"schema":"https://github.com/citation-style-language/schema/raw/master/csl-citation.json"} </w:instrText>
      </w:r>
      <w:r w:rsidR="009D5C7F">
        <w:fldChar w:fldCharType="separate"/>
      </w:r>
      <w:r w:rsidR="001F0DA8" w:rsidRPr="001F0DA8">
        <w:rPr>
          <w:rFonts w:cs="Times New Roman"/>
          <w:szCs w:val="24"/>
        </w:rPr>
        <w:t>(</w:t>
      </w:r>
      <w:r w:rsidR="001F0DA8" w:rsidRPr="001F0DA8">
        <w:rPr>
          <w:rFonts w:cs="Times New Roman"/>
          <w:smallCaps/>
          <w:szCs w:val="24"/>
        </w:rPr>
        <w:t>Europäische Kommission</w:t>
      </w:r>
      <w:r w:rsidR="001F0DA8" w:rsidRPr="001F0DA8">
        <w:rPr>
          <w:rFonts w:cs="Times New Roman"/>
          <w:szCs w:val="24"/>
        </w:rPr>
        <w:t xml:space="preserve"> (idF. v. 2009))</w:t>
      </w:r>
      <w:r w:rsidR="009D5C7F">
        <w:fldChar w:fldCharType="end"/>
      </w:r>
      <w:r w:rsidR="008E3FD9">
        <w:t xml:space="preserve">. </w:t>
      </w:r>
      <w:r w:rsidR="00770C5E">
        <w:t>Erste Erfahrungen mit der Zertifizierung der Biomasse liegen inzwischen vor und fließen in die Diskussion um die Weit</w:t>
      </w:r>
      <w:r w:rsidR="00C66EFD">
        <w:t>erentwicklung der Standards ein</w:t>
      </w:r>
      <w:r w:rsidR="00770C5E">
        <w:t>.</w:t>
      </w:r>
    </w:p>
    <w:p w:rsidR="00891100" w:rsidRDefault="008A1751" w:rsidP="00891100">
      <w:r>
        <w:t xml:space="preserve">Ein bisher schwer zu quantifizierendes oder auch </w:t>
      </w:r>
      <w:r w:rsidR="009B068F">
        <w:t xml:space="preserve">ungenügend </w:t>
      </w:r>
      <w:r>
        <w:t xml:space="preserve">zu berücksichtigendes Problem </w:t>
      </w:r>
      <w:r w:rsidR="00784327">
        <w:t xml:space="preserve">der </w:t>
      </w:r>
      <w:r>
        <w:t xml:space="preserve">direkten </w:t>
      </w:r>
      <w:r w:rsidR="00784327">
        <w:t>Veränderung einer bestehenden</w:t>
      </w:r>
      <w:r>
        <w:t xml:space="preserve"> Landnutzung (</w:t>
      </w:r>
      <w:proofErr w:type="spellStart"/>
      <w:r>
        <w:t>dLUC</w:t>
      </w:r>
      <w:proofErr w:type="spellEnd"/>
      <w:r>
        <w:t xml:space="preserve">) </w:t>
      </w:r>
      <w:r w:rsidR="00784327">
        <w:t xml:space="preserve">durch zum Beispiel Energiepflanzenanbau (jegliche Form von Landnutzungsänderung kann zu </w:t>
      </w:r>
      <w:proofErr w:type="spellStart"/>
      <w:r w:rsidR="00784327">
        <w:t>iLUC</w:t>
      </w:r>
      <w:proofErr w:type="spellEnd"/>
      <w:r w:rsidR="00784327">
        <w:t xml:space="preserve"> führen) </w:t>
      </w:r>
      <w:r>
        <w:t>ist die darauf folgende indirekte Landnutzungsänderung (</w:t>
      </w:r>
      <w:proofErr w:type="spellStart"/>
      <w:r>
        <w:t>iLUC</w:t>
      </w:r>
      <w:proofErr w:type="spellEnd"/>
      <w:r>
        <w:t xml:space="preserve">), welche in unmittelbarer Nachbarschaft </w:t>
      </w:r>
      <w:r w:rsidR="009B068F">
        <w:t>oder in anderen Regionen/Ländern stat</w:t>
      </w:r>
      <w:r w:rsidR="00784327">
        <w:t xml:space="preserve">tfinden kann. Im ungünstigsten Fall weicht die Art der Flächennutzung (Landwirtschaft) auf Wälder </w:t>
      </w:r>
      <w:r w:rsidR="009C0099">
        <w:t xml:space="preserve">(Abholzung) </w:t>
      </w:r>
      <w:r w:rsidR="00784327">
        <w:t xml:space="preserve">oder Torfmoore </w:t>
      </w:r>
      <w:r w:rsidR="009C0099">
        <w:t xml:space="preserve">(Umbruch) </w:t>
      </w:r>
      <w:r w:rsidR="00784327">
        <w:t>und damit wichtigen CO2-Senken aus.</w:t>
      </w:r>
      <w:r w:rsidR="009C0099">
        <w:t xml:space="preserve"> Die Ursache ist im globalen Maßstab dann jedoch nicht mehr ermittelbar.</w:t>
      </w:r>
    </w:p>
    <w:p w:rsidR="009B068F" w:rsidRDefault="009B068F" w:rsidP="009B068F">
      <w:pPr>
        <w:keepNext/>
      </w:pPr>
      <w:r w:rsidRPr="009B068F">
        <w:rPr>
          <w:noProof/>
          <w:lang w:eastAsia="de-DE"/>
        </w:rPr>
        <w:drawing>
          <wp:inline distT="0" distB="0" distL="0" distR="0">
            <wp:extent cx="5757670" cy="2012950"/>
            <wp:effectExtent l="0" t="0" r="0"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0947"/>
                    <a:stretch/>
                  </pic:blipFill>
                  <pic:spPr bwMode="auto">
                    <a:xfrm>
                      <a:off x="0" y="0"/>
                      <a:ext cx="5760720" cy="201401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974A9" w:rsidRPr="005974A9" w:rsidRDefault="009B068F" w:rsidP="009B068F">
      <w:pPr>
        <w:pStyle w:val="Beschriftung"/>
      </w:pPr>
      <w:r>
        <w:t xml:space="preserve">Abbildung </w:t>
      </w:r>
      <w:fldSimple w:instr=" SEQ Abbildung \* ARABIC ">
        <w:r w:rsidR="000462A7">
          <w:rPr>
            <w:noProof/>
          </w:rPr>
          <w:t>10</w:t>
        </w:r>
      </w:fldSimple>
      <w:r>
        <w:t>: indirekte Landnutzungsänderungen als Folge direkter Landnutzungsänderungen (e</w:t>
      </w:r>
      <w:r w:rsidR="005974A9">
        <w:t xml:space="preserve">igene Darstellung, </w:t>
      </w:r>
      <w:r w:rsidR="005974A9" w:rsidRPr="005974A9">
        <w:t>Luftbilder: maps.google.de</w:t>
      </w:r>
      <w:r>
        <w:t>)</w:t>
      </w:r>
    </w:p>
    <w:p w:rsidR="009A0EF9" w:rsidRPr="002068CE" w:rsidRDefault="009A0EF9" w:rsidP="002068CE">
      <w:pPr>
        <w:pStyle w:val="berschrift1"/>
      </w:pPr>
      <w:r w:rsidRPr="002068CE">
        <w:t xml:space="preserve">Zusammenfassung </w:t>
      </w:r>
    </w:p>
    <w:p w:rsidR="00AE0948" w:rsidRDefault="009C0099" w:rsidP="00241590">
      <w:r>
        <w:t xml:space="preserve">Für mehr Nachhaltigkeit in der energetischen Biomassenutzung </w:t>
      </w:r>
      <w:r w:rsidR="00F21938">
        <w:t xml:space="preserve">ist es notwendig, dass die </w:t>
      </w:r>
      <w:r>
        <w:t>Bioenergieforschung an verschiedenen Stellen ansetz</w:t>
      </w:r>
      <w:r w:rsidR="00F21938">
        <w:t>t</w:t>
      </w:r>
      <w:r>
        <w:t>. Zum einen</w:t>
      </w:r>
      <w:r w:rsidR="00336B4E">
        <w:t xml:space="preserve"> gilt es an der </w:t>
      </w:r>
      <w:r w:rsidR="005974A9">
        <w:t>Optimierung der Bereitstellungskette</w:t>
      </w:r>
      <w:r>
        <w:t xml:space="preserve">n zu arbeiten. Hierbei ist eine </w:t>
      </w:r>
      <w:r w:rsidR="005974A9">
        <w:t>Ausweitung der Rohstoffbasis auf Reststoffe und Energiepflanzen mit geringen Ansprüchen</w:t>
      </w:r>
      <w:r w:rsidR="00336B4E">
        <w:t xml:space="preserve"> anzustreben.</w:t>
      </w:r>
      <w:r w:rsidR="00F21938">
        <w:t xml:space="preserve"> Eine weitergehende </w:t>
      </w:r>
      <w:r w:rsidR="005974A9">
        <w:t>Optimierung der Konversionstechnologien in allen Anwendungsbereichen</w:t>
      </w:r>
      <w:r w:rsidR="00F21938">
        <w:t xml:space="preserve"> </w:t>
      </w:r>
      <w:r w:rsidR="001A6748">
        <w:t xml:space="preserve">führt zu </w:t>
      </w:r>
      <w:r w:rsidR="005974A9">
        <w:t>Steigerung</w:t>
      </w:r>
      <w:r w:rsidR="001A6748">
        <w:t>en</w:t>
      </w:r>
      <w:r w:rsidR="005974A9">
        <w:t xml:space="preserve"> der Nutzungsgrade und des Energieertrags</w:t>
      </w:r>
      <w:r w:rsidR="00F21938">
        <w:t xml:space="preserve"> und noch stärkerer </w:t>
      </w:r>
      <w:r>
        <w:t>Reduktion der Emissionen</w:t>
      </w:r>
      <w:r w:rsidR="001A6748">
        <w:t xml:space="preserve">. </w:t>
      </w:r>
      <w:r w:rsidR="00AE0948">
        <w:t xml:space="preserve">Folgende Techniken sollten beim Einsatz von Biomasse darum Priorität bekommen: </w:t>
      </w:r>
    </w:p>
    <w:p w:rsidR="00AE0948" w:rsidRDefault="00AE0948" w:rsidP="00241590">
      <w:pPr>
        <w:pStyle w:val="Listenabsatz"/>
        <w:numPr>
          <w:ilvl w:val="0"/>
          <w:numId w:val="16"/>
        </w:numPr>
        <w:ind w:left="426" w:hanging="426"/>
      </w:pPr>
      <w:r>
        <w:t>Die Nutzung von lokal anfallenden Biomassen in kleinen Anlagen vor Ort, etwa zur Wärmeerzeugung und in kleinen Kraft-Wärme-</w:t>
      </w:r>
      <w:proofErr w:type="spellStart"/>
      <w:r>
        <w:t>Kopplungs</w:t>
      </w:r>
      <w:proofErr w:type="spellEnd"/>
      <w:r>
        <w:t xml:space="preserve"> Anlagen zu gekoppelten Erzeugung von Strom und Wärme. Also etwa Biogasanlagen neben einem großen </w:t>
      </w:r>
      <w:r>
        <w:lastRenderedPageBreak/>
        <w:t xml:space="preserve">Kuhstall oder für Reststoffe aus dem Weinbau, die auch in die dörfliche Nahwärmeversorgung eingebunden sind. </w:t>
      </w:r>
    </w:p>
    <w:p w:rsidR="00AE0948" w:rsidRDefault="00AE0948" w:rsidP="00241590">
      <w:pPr>
        <w:pStyle w:val="Listenabsatz"/>
        <w:numPr>
          <w:ilvl w:val="0"/>
          <w:numId w:val="16"/>
        </w:numPr>
        <w:ind w:left="426" w:hanging="426"/>
      </w:pPr>
      <w:r>
        <w:t xml:space="preserve">Stromerzeugung in Zeiten, in denen der Wind nicht weht und die Sonne nicht scheint. Biomasse ist ein kostengünstiger Speicher, Biogasanlagen sollten größere Gasspeicher und größere Blockheizkraftwerke erhalten, damit sie auch über längere Zeiträume den Ausfall von Wind- und Sonnenstrom kompensieren können. Solche regionalen Bioenergieträger können einen hohen Beitrag zur dezentralen Energieversorgung leisten. </w:t>
      </w:r>
    </w:p>
    <w:p w:rsidR="00AE0948" w:rsidRDefault="00AE0948" w:rsidP="00241590">
      <w:pPr>
        <w:pStyle w:val="Listenabsatz"/>
        <w:numPr>
          <w:ilvl w:val="0"/>
          <w:numId w:val="16"/>
        </w:numPr>
        <w:ind w:left="426" w:hanging="426"/>
      </w:pPr>
      <w:r>
        <w:t xml:space="preserve">Gewinnung von Biomethan als Erdgasersatz und für andere Zwischenprodukte, die fossile Rohstoffe sowohl für die stoffliche als auch für die energetische Bereitstellung substituieren können und dafür keine neue Infrastruktur brauchen. Also Biomethan aus der Vergasung von Holzmaterial oder direkt aus Biogas, das dann ins Erdgasnetz eingespeist wird. </w:t>
      </w:r>
    </w:p>
    <w:p w:rsidR="00AE0948" w:rsidRDefault="00AE0948" w:rsidP="00241590">
      <w:pPr>
        <w:pStyle w:val="Listenabsatz"/>
        <w:numPr>
          <w:ilvl w:val="0"/>
          <w:numId w:val="16"/>
        </w:numPr>
        <w:ind w:left="426" w:hanging="426"/>
      </w:pPr>
      <w:r>
        <w:t>Anwendungen in Feldern, in denen bisher keine Antriebsalternativen absehbar sind wie etwa im Flugverkehr. Biokerosin lässt sich aus ölhaltigen oder holzartigen Biomassen herstellen und kann als Beimischung oder Reinkraftstoff eingesetzt werden. Beides ist technisch schon erprobt.</w:t>
      </w:r>
    </w:p>
    <w:p w:rsidR="005974A9" w:rsidRPr="005974A9" w:rsidRDefault="00336B4E" w:rsidP="009C0099">
      <w:r>
        <w:t xml:space="preserve">Zum anderen </w:t>
      </w:r>
      <w:r w:rsidR="002A1E33">
        <w:t xml:space="preserve">sind die Möglichkeiten einer </w:t>
      </w:r>
      <w:r>
        <w:t>u</w:t>
      </w:r>
      <w:r w:rsidR="005974A9">
        <w:t>mfassende</w:t>
      </w:r>
      <w:r w:rsidR="002A1E33">
        <w:t>n</w:t>
      </w:r>
      <w:r w:rsidR="005974A9">
        <w:t xml:space="preserve"> Integration von </w:t>
      </w:r>
      <w:proofErr w:type="spellStart"/>
      <w:r w:rsidR="005974A9">
        <w:t>Nachhaltigkeit</w:t>
      </w:r>
      <w:r w:rsidR="000462A7">
        <w:t>s</w:t>
      </w:r>
      <w:r w:rsidR="00120A98">
        <w:softHyphen/>
      </w:r>
      <w:r w:rsidR="002A1E33">
        <w:t>a</w:t>
      </w:r>
      <w:r w:rsidR="00120A98">
        <w:t>s</w:t>
      </w:r>
      <w:r w:rsidR="002A1E33">
        <w:t>pekten</w:t>
      </w:r>
      <w:proofErr w:type="spellEnd"/>
      <w:r w:rsidR="005974A9">
        <w:t xml:space="preserve"> entlang der gesamten Bereitstellungskette</w:t>
      </w:r>
      <w:r w:rsidR="002A1E33">
        <w:t xml:space="preserve"> </w:t>
      </w:r>
      <w:r w:rsidR="00B0731C">
        <w:t>zu analysieren und in ihrer Umsetzung zu un</w:t>
      </w:r>
      <w:bookmarkStart w:id="9" w:name="_GoBack"/>
      <w:bookmarkEnd w:id="9"/>
      <w:r w:rsidR="00B0731C">
        <w:t xml:space="preserve">terstützen. </w:t>
      </w:r>
      <w:r w:rsidR="00120A98">
        <w:t>Dabei</w:t>
      </w:r>
      <w:r w:rsidR="009C0099">
        <w:t xml:space="preserve"> ist festzuhalten, dass </w:t>
      </w:r>
      <w:r w:rsidR="00114CD2" w:rsidRPr="002068CE">
        <w:t>Bioenergie nur ein Teil der Frage</w:t>
      </w:r>
      <w:r w:rsidR="009C0099">
        <w:t xml:space="preserve"> </w:t>
      </w:r>
      <w:r w:rsidR="00241590">
        <w:t xml:space="preserve">rund um erneuerbare Energien und Nachhaltigkeit </w:t>
      </w:r>
      <w:r w:rsidR="009C0099">
        <w:t xml:space="preserve">ist. Im Zusammenhang mit konkurrierenden Anwendungen ist ein </w:t>
      </w:r>
      <w:r w:rsidR="005974A9">
        <w:t xml:space="preserve">ausgewogenes Verhältnis zwischen </w:t>
      </w:r>
      <w:r w:rsidR="005974A9" w:rsidRPr="005974A9">
        <w:t>Energieeinsparung</w:t>
      </w:r>
      <w:r w:rsidR="005974A9">
        <w:t xml:space="preserve"> und </w:t>
      </w:r>
      <w:r w:rsidR="005974A9" w:rsidRPr="005974A9">
        <w:t>Ressourcenverteilung</w:t>
      </w:r>
      <w:r w:rsidR="009C0099">
        <w:t xml:space="preserve"> anzustreben.</w:t>
      </w:r>
    </w:p>
    <w:p w:rsidR="00891100" w:rsidRPr="00891100" w:rsidRDefault="00891100" w:rsidP="00891100"/>
    <w:p w:rsidR="009A0EF9" w:rsidRDefault="009A0EF9" w:rsidP="002068CE">
      <w:pPr>
        <w:pStyle w:val="berschrift1"/>
      </w:pPr>
      <w:r w:rsidRPr="002068CE">
        <w:t>Literatur</w:t>
      </w:r>
    </w:p>
    <w:p w:rsidR="001F0DA8" w:rsidRPr="001F0DA8" w:rsidRDefault="009D5C7F" w:rsidP="001F0DA8">
      <w:pPr>
        <w:pStyle w:val="Literaturverzeichnis"/>
        <w:rPr>
          <w:rFonts w:cs="Times New Roman"/>
        </w:rPr>
      </w:pPr>
      <w:r>
        <w:fldChar w:fldCharType="begin"/>
      </w:r>
      <w:r w:rsidR="001F0DA8">
        <w:instrText xml:space="preserve"> ADDIN ZOTERO_BIBL {"custom":[]} CSL_BIBLIOGRAPHY </w:instrText>
      </w:r>
      <w:r>
        <w:fldChar w:fldCharType="separate"/>
      </w:r>
      <w:r w:rsidR="001F0DA8" w:rsidRPr="001F0DA8">
        <w:rPr>
          <w:rFonts w:cs="Times New Roman"/>
          <w:smallCaps/>
        </w:rPr>
        <w:t>BMU</w:t>
      </w:r>
      <w:r w:rsidR="001F0DA8" w:rsidRPr="001F0DA8">
        <w:rPr>
          <w:rFonts w:cs="Times New Roman"/>
        </w:rPr>
        <w:t>: Nationaler Aktionsplan für erneuerbare Energie gemäß der Richtlinie 2009/28/EG zur Förderung der Nutzung von Energie aus erneuerbaren Quellen (NREAP), Bundesministerium für Umwelt Naturschutz und Reaktorsicherheit (2010)</w:t>
      </w:r>
    </w:p>
    <w:p w:rsidR="001F0DA8" w:rsidRPr="001F0DA8" w:rsidRDefault="001F0DA8" w:rsidP="001F0DA8">
      <w:pPr>
        <w:pStyle w:val="Literaturverzeichnis"/>
        <w:rPr>
          <w:rFonts w:cs="Times New Roman"/>
        </w:rPr>
      </w:pPr>
      <w:r w:rsidRPr="001F0DA8">
        <w:rPr>
          <w:rFonts w:cs="Times New Roman"/>
          <w:smallCaps/>
        </w:rPr>
        <w:t>BMU</w:t>
      </w:r>
      <w:r w:rsidRPr="001F0DA8">
        <w:rPr>
          <w:rFonts w:cs="Times New Roman"/>
        </w:rPr>
        <w:t>: Entwicklung der erneuerbaren Energien in Deutschland im Jahr 2011 - Grafiken und Tabellen, Stand: Juli 2012 - unter Verwendung aktueller Daten der Arbeitsgruppe Erneuerbare Energien-Statistik (AGEE-Stat), Bundesministerium für Umwelt Naturschutz und Reaktorsicherheit (2012)</w:t>
      </w:r>
    </w:p>
    <w:p w:rsidR="001F0DA8" w:rsidRPr="001F0DA8" w:rsidRDefault="001F0DA8" w:rsidP="001F0DA8">
      <w:pPr>
        <w:pStyle w:val="Literaturverzeichnis"/>
        <w:rPr>
          <w:rFonts w:cs="Times New Roman"/>
        </w:rPr>
      </w:pPr>
      <w:r w:rsidRPr="001F0DA8">
        <w:rPr>
          <w:rFonts w:cs="Times New Roman"/>
          <w:smallCaps/>
        </w:rPr>
        <w:t>BMVBS (Hrsg.)</w:t>
      </w:r>
      <w:r w:rsidRPr="001F0DA8">
        <w:rPr>
          <w:rFonts w:cs="Times New Roman"/>
        </w:rPr>
        <w:t xml:space="preserve">: </w:t>
      </w:r>
      <w:r w:rsidRPr="001F0DA8">
        <w:rPr>
          <w:rFonts w:cs="Times New Roman"/>
          <w:i/>
          <w:iCs/>
        </w:rPr>
        <w:t>Globale und regionale Verteilung von Biomassepotenzialen. Status-quo und Möglichkeiten der Präzesierung</w:t>
      </w:r>
      <w:r w:rsidRPr="001F0DA8">
        <w:rPr>
          <w:rFonts w:cs="Times New Roman"/>
        </w:rPr>
        <w:t xml:space="preserve">, </w:t>
      </w:r>
      <w:r w:rsidRPr="001F0DA8">
        <w:rPr>
          <w:rFonts w:cs="Times New Roman"/>
          <w:i/>
          <w:iCs/>
        </w:rPr>
        <w:t>BMVBS-Online-Publikation 27/2010</w:t>
      </w:r>
      <w:r w:rsidRPr="001F0DA8">
        <w:rPr>
          <w:rFonts w:cs="Times New Roman"/>
        </w:rPr>
        <w:t> : BMVBS, 2010</w:t>
      </w:r>
    </w:p>
    <w:p w:rsidR="001F0DA8" w:rsidRPr="00120A98" w:rsidRDefault="001F0DA8" w:rsidP="001F0DA8">
      <w:pPr>
        <w:pStyle w:val="Literaturverzeichnis"/>
        <w:rPr>
          <w:rFonts w:cs="Times New Roman"/>
          <w:lang w:val="en-US"/>
        </w:rPr>
      </w:pPr>
      <w:r w:rsidRPr="00120A98">
        <w:rPr>
          <w:rFonts w:cs="Times New Roman"/>
          <w:smallCaps/>
          <w:lang w:val="en-US"/>
        </w:rPr>
        <w:t>BP</w:t>
      </w:r>
      <w:r w:rsidRPr="00120A98">
        <w:rPr>
          <w:rFonts w:cs="Times New Roman"/>
          <w:lang w:val="en-US"/>
        </w:rPr>
        <w:t>: BP Statistical Review of World Energy June 2012, BP Petroleum (2012)</w:t>
      </w:r>
    </w:p>
    <w:p w:rsidR="001F0DA8" w:rsidRPr="00120A98" w:rsidRDefault="001F0DA8" w:rsidP="001F0DA8">
      <w:pPr>
        <w:pStyle w:val="Literaturverzeichnis"/>
        <w:rPr>
          <w:rFonts w:cs="Times New Roman"/>
          <w:lang w:val="en-US"/>
        </w:rPr>
      </w:pPr>
      <w:r w:rsidRPr="00120A98">
        <w:rPr>
          <w:rFonts w:cs="Times New Roman"/>
          <w:smallCaps/>
          <w:lang w:val="en-US"/>
        </w:rPr>
        <w:t>Chum, Helena ; Faaij, Andre ; Moreira, Jose</w:t>
      </w:r>
      <w:r w:rsidRPr="00120A98">
        <w:rPr>
          <w:rFonts w:cs="Times New Roman"/>
          <w:lang w:val="en-US"/>
        </w:rPr>
        <w:t xml:space="preserve">: Bioenergy. In: </w:t>
      </w:r>
      <w:r w:rsidRPr="00120A98">
        <w:rPr>
          <w:rFonts w:cs="Times New Roman"/>
          <w:i/>
          <w:iCs/>
          <w:lang w:val="en-US"/>
        </w:rPr>
        <w:t>IPCC Special Report on Renewable Energy Sources and Climate Change Mitigation</w:t>
      </w:r>
      <w:r w:rsidRPr="00120A98">
        <w:rPr>
          <w:rFonts w:cs="Times New Roman"/>
          <w:lang w:val="en-US"/>
        </w:rPr>
        <w:t xml:space="preserve">, </w:t>
      </w:r>
      <w:r w:rsidRPr="00120A98">
        <w:rPr>
          <w:rFonts w:cs="Times New Roman"/>
          <w:i/>
          <w:iCs/>
          <w:lang w:val="en-US"/>
        </w:rPr>
        <w:t>2</w:t>
      </w:r>
      <w:r w:rsidRPr="00120A98">
        <w:rPr>
          <w:rFonts w:cs="Times New Roman"/>
          <w:lang w:val="en-US"/>
        </w:rPr>
        <w:t>. Cambridge/ New York, 2011</w:t>
      </w:r>
    </w:p>
    <w:p w:rsidR="001F0DA8" w:rsidRPr="00120A98" w:rsidRDefault="001F0DA8" w:rsidP="001F0DA8">
      <w:pPr>
        <w:pStyle w:val="Literaturverzeichnis"/>
        <w:rPr>
          <w:rFonts w:cs="Times New Roman"/>
          <w:lang w:val="en-US"/>
        </w:rPr>
      </w:pPr>
      <w:r w:rsidRPr="00120A98">
        <w:rPr>
          <w:rFonts w:cs="Times New Roman"/>
          <w:smallCaps/>
          <w:lang w:val="en-US"/>
        </w:rPr>
        <w:t xml:space="preserve">Dauber, Jens ; Brown, Chris ; Fernando, Ana Luisa ; Finnan, John ; Krasuska, Ewa ; Ponitka, Jens ; Styles, David ; Thrän, Daniela ; Van Groenigen, Kees Jan ; u. </w:t>
      </w:r>
      <w:r w:rsidRPr="00120A98">
        <w:rPr>
          <w:rFonts w:cs="Times New Roman"/>
          <w:smallCaps/>
          <w:lang w:val="en-US"/>
        </w:rPr>
        <w:lastRenderedPageBreak/>
        <w:t>a.</w:t>
      </w:r>
      <w:r w:rsidRPr="00120A98">
        <w:rPr>
          <w:rFonts w:cs="Times New Roman"/>
          <w:lang w:val="en-US"/>
        </w:rPr>
        <w:t xml:space="preserve">: Bioenergy from “surplus” land: environmental and socio-economic implications. In: </w:t>
      </w:r>
      <w:r w:rsidRPr="00120A98">
        <w:rPr>
          <w:rFonts w:cs="Times New Roman"/>
          <w:i/>
          <w:iCs/>
          <w:lang w:val="en-US"/>
        </w:rPr>
        <w:t>BIORISK – Biodiversity and Ecosystem Risk Assessment</w:t>
      </w:r>
      <w:r w:rsidRPr="00120A98">
        <w:rPr>
          <w:rFonts w:cs="Times New Roman"/>
          <w:lang w:val="en-US"/>
        </w:rPr>
        <w:t xml:space="preserve"> Bd. 7 (2012), S. 5–50</w:t>
      </w:r>
    </w:p>
    <w:p w:rsidR="001F0DA8" w:rsidRPr="00120A98" w:rsidRDefault="001F0DA8" w:rsidP="001F0DA8">
      <w:pPr>
        <w:pStyle w:val="Literaturverzeichnis"/>
        <w:rPr>
          <w:rFonts w:cs="Times New Roman"/>
          <w:lang w:val="en-US"/>
        </w:rPr>
      </w:pPr>
      <w:r w:rsidRPr="00120A98">
        <w:rPr>
          <w:rFonts w:cs="Times New Roman"/>
          <w:smallCaps/>
          <w:lang w:val="en-US"/>
        </w:rPr>
        <w:t>Edwards, R ; Mulligan, D ; Marelli, L</w:t>
      </w:r>
      <w:r w:rsidRPr="00120A98">
        <w:rPr>
          <w:rFonts w:cs="Times New Roman"/>
          <w:lang w:val="en-US"/>
        </w:rPr>
        <w:t xml:space="preserve">: </w:t>
      </w:r>
      <w:r w:rsidRPr="00120A98">
        <w:rPr>
          <w:rFonts w:cs="Times New Roman"/>
          <w:i/>
          <w:iCs/>
          <w:lang w:val="en-US"/>
        </w:rPr>
        <w:t>Indirect Land Use Change from increased biofuels demand - Comparison of models and results for marginal biofuels production from different feedstocks</w:t>
      </w:r>
      <w:r w:rsidRPr="00120A98">
        <w:rPr>
          <w:rFonts w:cs="Times New Roman"/>
          <w:lang w:val="en-US"/>
        </w:rPr>
        <w:t xml:space="preserve">, </w:t>
      </w:r>
      <w:r w:rsidRPr="00120A98">
        <w:rPr>
          <w:rFonts w:cs="Times New Roman"/>
          <w:i/>
          <w:iCs/>
          <w:lang w:val="en-US"/>
        </w:rPr>
        <w:t>JRC Scientific and Technical Reports</w:t>
      </w:r>
      <w:r w:rsidRPr="00120A98">
        <w:rPr>
          <w:rFonts w:cs="Times New Roman"/>
          <w:lang w:val="en-US"/>
        </w:rPr>
        <w:t xml:space="preserve"> ( Nr. EUR 24485 EN). Luxembourg : European Commission, Joint Research Centre – Institute for Energy, 2010</w:t>
      </w:r>
    </w:p>
    <w:p w:rsidR="001F0DA8" w:rsidRPr="001F0DA8" w:rsidRDefault="001F0DA8" w:rsidP="001F0DA8">
      <w:pPr>
        <w:pStyle w:val="Literaturverzeichnis"/>
        <w:rPr>
          <w:rFonts w:cs="Times New Roman"/>
        </w:rPr>
      </w:pPr>
      <w:r w:rsidRPr="001F0DA8">
        <w:rPr>
          <w:rFonts w:cs="Times New Roman"/>
          <w:smallCaps/>
        </w:rPr>
        <w:t>Europäische Kommission</w:t>
      </w:r>
      <w:r w:rsidRPr="001F0DA8">
        <w:rPr>
          <w:rFonts w:cs="Times New Roman"/>
        </w:rPr>
        <w:t>: Vorschlag für eine Richtlinie des Europäischen Parlaments und des Rates zur Förderung der Nutzung von Energie aus erneuerbaren Quellen (von der Kommission vorgelegt). KOM(2008) 30 endgültig - SEK(2008) 57 - SEK(2008) 85, Brüssel (2008)</w:t>
      </w:r>
    </w:p>
    <w:p w:rsidR="001F0DA8" w:rsidRPr="001F0DA8" w:rsidRDefault="001F0DA8" w:rsidP="001F0DA8">
      <w:pPr>
        <w:pStyle w:val="Literaturverzeichnis"/>
        <w:rPr>
          <w:rFonts w:cs="Times New Roman"/>
        </w:rPr>
      </w:pPr>
      <w:r w:rsidRPr="001F0DA8">
        <w:rPr>
          <w:rFonts w:cs="Times New Roman"/>
          <w:smallCaps/>
        </w:rPr>
        <w:t>Europäische Kommission</w:t>
      </w:r>
      <w:r w:rsidRPr="001F0DA8">
        <w:rPr>
          <w:rFonts w:cs="Times New Roman"/>
        </w:rPr>
        <w:t>: Richtlinie 2009/28/EG des Europäischen Parlaments und des Rates vom 23. April 2009 zur Förderung der Nutzung von Energie aus erneuerbaren Quellen und zur Änderung und anschließenden Aufhebung der Richtlinien 2001/77/EG und 2003/30/EG, 2009</w:t>
      </w:r>
    </w:p>
    <w:p w:rsidR="001F0DA8" w:rsidRPr="001F0DA8" w:rsidRDefault="001F0DA8" w:rsidP="001F0DA8">
      <w:pPr>
        <w:pStyle w:val="Literaturverzeichnis"/>
        <w:rPr>
          <w:rFonts w:cs="Times New Roman"/>
        </w:rPr>
      </w:pPr>
      <w:r w:rsidRPr="001F0DA8">
        <w:rPr>
          <w:rFonts w:cs="Times New Roman"/>
          <w:smallCaps/>
        </w:rPr>
        <w:t>FNR</w:t>
      </w:r>
      <w:r w:rsidRPr="001F0DA8">
        <w:rPr>
          <w:rFonts w:cs="Times New Roman"/>
        </w:rPr>
        <w:t>: Jahresbericht Fachagentur Nachwachsende Rohstoffe e.V. 2011/2012, Fachagentur Nachwachsende Rohstoffe e.V. (2012)</w:t>
      </w:r>
    </w:p>
    <w:p w:rsidR="001F0DA8" w:rsidRPr="00120A98" w:rsidRDefault="001F0DA8" w:rsidP="001F0DA8">
      <w:pPr>
        <w:pStyle w:val="Literaturverzeichnis"/>
        <w:rPr>
          <w:rFonts w:cs="Times New Roman"/>
          <w:lang w:val="en-US"/>
        </w:rPr>
      </w:pPr>
      <w:r w:rsidRPr="00120A98">
        <w:rPr>
          <w:rFonts w:cs="Times New Roman"/>
          <w:smallCaps/>
          <w:lang w:val="en-US"/>
        </w:rPr>
        <w:t>IEA</w:t>
      </w:r>
      <w:r w:rsidRPr="00120A98">
        <w:rPr>
          <w:rFonts w:cs="Times New Roman"/>
          <w:lang w:val="en-US"/>
        </w:rPr>
        <w:t>: Key World Energy Statistics 2012, International Energy Agency (2012)</w:t>
      </w:r>
    </w:p>
    <w:p w:rsidR="001F0DA8" w:rsidRPr="00120A98" w:rsidRDefault="001F0DA8" w:rsidP="001F0DA8">
      <w:pPr>
        <w:pStyle w:val="Literaturverzeichnis"/>
        <w:rPr>
          <w:rFonts w:cs="Times New Roman"/>
          <w:lang w:val="en-US"/>
        </w:rPr>
      </w:pPr>
      <w:r w:rsidRPr="001F0DA8">
        <w:rPr>
          <w:rFonts w:cs="Times New Roman"/>
          <w:smallCaps/>
        </w:rPr>
        <w:t>Kaltschmitt, Martin ; Hartmann, Hans ; Hofbauer, Hermann</w:t>
      </w:r>
      <w:r w:rsidRPr="001F0DA8">
        <w:rPr>
          <w:rFonts w:cs="Times New Roman"/>
        </w:rPr>
        <w:t xml:space="preserve">: </w:t>
      </w:r>
      <w:r w:rsidRPr="001F0DA8">
        <w:rPr>
          <w:rFonts w:cs="Times New Roman"/>
          <w:i/>
          <w:iCs/>
        </w:rPr>
        <w:t>Energie aus Biomasse: Grundlagen, Techniken und Verfahren</w:t>
      </w:r>
      <w:r w:rsidRPr="001F0DA8">
        <w:rPr>
          <w:rFonts w:cs="Times New Roman"/>
        </w:rPr>
        <w:t xml:space="preserve">. </w:t>
      </w:r>
      <w:r w:rsidRPr="00120A98">
        <w:rPr>
          <w:rFonts w:cs="Times New Roman"/>
          <w:lang w:val="en-US"/>
        </w:rPr>
        <w:t>2., Corrected Aufl. 2009. 2., korr. Nachdruck 2009. Aufl. : Springer, 2009 — ISBN 3540850945</w:t>
      </w:r>
    </w:p>
    <w:p w:rsidR="001F0DA8" w:rsidRPr="00120A98" w:rsidRDefault="001F0DA8" w:rsidP="001F0DA8">
      <w:pPr>
        <w:pStyle w:val="Literaturverzeichnis"/>
        <w:rPr>
          <w:rFonts w:cs="Times New Roman"/>
          <w:lang w:val="en-US"/>
        </w:rPr>
      </w:pPr>
      <w:r w:rsidRPr="00120A98">
        <w:rPr>
          <w:rFonts w:cs="Times New Roman"/>
          <w:smallCaps/>
          <w:lang w:val="en-US"/>
        </w:rPr>
        <w:t>Kretschmer, Bettina</w:t>
      </w:r>
      <w:r w:rsidRPr="00120A98">
        <w:rPr>
          <w:rFonts w:cs="Times New Roman"/>
          <w:lang w:val="en-US"/>
        </w:rPr>
        <w:t>: The Land-use implications of EU Bioenergy Policy. Going beyond ILUC (2011)</w:t>
      </w:r>
    </w:p>
    <w:p w:rsidR="001F0DA8" w:rsidRPr="001F0DA8" w:rsidRDefault="001F0DA8" w:rsidP="001F0DA8">
      <w:pPr>
        <w:pStyle w:val="Literaturverzeichnis"/>
        <w:rPr>
          <w:rFonts w:cs="Times New Roman"/>
        </w:rPr>
      </w:pPr>
      <w:r w:rsidRPr="001F0DA8">
        <w:rPr>
          <w:rFonts w:cs="Times New Roman"/>
          <w:smallCaps/>
        </w:rPr>
        <w:t>Lenz, Volker ; Ponitka, Jens</w:t>
      </w:r>
      <w:r w:rsidRPr="001F0DA8">
        <w:rPr>
          <w:rFonts w:cs="Times New Roman"/>
        </w:rPr>
        <w:t>: Meilensteine 2030 – Perspektiven der Biomasse im Wärmesektor. Workshop „Biomasse im Wärmemarkt der Zukunft“.</w:t>
      </w:r>
    </w:p>
    <w:p w:rsidR="001F0DA8" w:rsidRPr="001F0DA8" w:rsidRDefault="001F0DA8" w:rsidP="001F0DA8">
      <w:pPr>
        <w:pStyle w:val="Literaturverzeichnis"/>
        <w:rPr>
          <w:rFonts w:cs="Times New Roman"/>
        </w:rPr>
      </w:pPr>
      <w:r w:rsidRPr="001F0DA8">
        <w:rPr>
          <w:rFonts w:cs="Times New Roman"/>
          <w:smallCaps/>
        </w:rPr>
        <w:t>Naumann, K. ; Oehmichen, K. ; Zeymer, M. ; Meisel, K.</w:t>
      </w:r>
      <w:r w:rsidRPr="001F0DA8">
        <w:rPr>
          <w:rFonts w:cs="Times New Roman"/>
        </w:rPr>
        <w:t xml:space="preserve">: </w:t>
      </w:r>
      <w:r w:rsidRPr="001F0DA8">
        <w:rPr>
          <w:rFonts w:cs="Times New Roman"/>
          <w:i/>
          <w:iCs/>
        </w:rPr>
        <w:t>Monitoring Biokraftstoffsektor</w:t>
      </w:r>
      <w:r w:rsidRPr="001F0DA8">
        <w:rPr>
          <w:rFonts w:cs="Times New Roman"/>
        </w:rPr>
        <w:t xml:space="preserve"> (DBFZ Report Nr. 11 (2. Auflage)). Leipzig : DBFZ Deutsches Biomasseforschungszentrum gemeinnützige GmbH, 2014</w:t>
      </w:r>
    </w:p>
    <w:p w:rsidR="001F0DA8" w:rsidRPr="00120A98" w:rsidRDefault="001F0DA8" w:rsidP="001F0DA8">
      <w:pPr>
        <w:pStyle w:val="Literaturverzeichnis"/>
        <w:rPr>
          <w:rFonts w:cs="Times New Roman"/>
          <w:lang w:val="en-US"/>
        </w:rPr>
      </w:pPr>
      <w:r w:rsidRPr="001F0DA8">
        <w:rPr>
          <w:rFonts w:cs="Times New Roman"/>
          <w:smallCaps/>
        </w:rPr>
        <w:t>Nitsch, Joachim ; Pregger, Thomas ; Naegler, Tobias ; Heide, Dominik ; Gerhardt, Norman ; Sterner, Michael ; Trost, Tobias ; Wenzel, Bernd ; Luca de Tena, Diego ; u. a.</w:t>
      </w:r>
      <w:r w:rsidRPr="001F0DA8">
        <w:rPr>
          <w:rFonts w:cs="Times New Roman"/>
        </w:rPr>
        <w:t xml:space="preserve">: Langfristszenarien und Strategien für den Ausbau der erneuerbaren Energien in Deutschland bei Berücksichtigung der Entwicklung in Europa und global. </w:t>
      </w:r>
      <w:r w:rsidRPr="00120A98">
        <w:rPr>
          <w:rFonts w:cs="Times New Roman"/>
          <w:lang w:val="en-US"/>
        </w:rPr>
        <w:t>Schlussbericht BMU - FKZ 03MAP146 (2012)</w:t>
      </w:r>
    </w:p>
    <w:p w:rsidR="001F0DA8" w:rsidRPr="00120A98" w:rsidRDefault="001F0DA8" w:rsidP="001F0DA8">
      <w:pPr>
        <w:pStyle w:val="Literaturverzeichnis"/>
        <w:rPr>
          <w:rFonts w:cs="Times New Roman"/>
          <w:lang w:val="en-US"/>
        </w:rPr>
      </w:pPr>
      <w:r w:rsidRPr="00120A98">
        <w:rPr>
          <w:rFonts w:cs="Times New Roman"/>
          <w:smallCaps/>
          <w:lang w:val="en-US"/>
        </w:rPr>
        <w:t>REN21</w:t>
      </w:r>
      <w:r w:rsidRPr="00120A98">
        <w:rPr>
          <w:rFonts w:cs="Times New Roman"/>
          <w:lang w:val="en-US"/>
        </w:rPr>
        <w:t>: Renewables 2012 Global Status Report, Renewable Energy Policy Network for the 21st Century (2012)</w:t>
      </w:r>
    </w:p>
    <w:p w:rsidR="001F0DA8" w:rsidRPr="001F0DA8" w:rsidRDefault="001F0DA8" w:rsidP="001F0DA8">
      <w:pPr>
        <w:pStyle w:val="Literaturverzeichnis"/>
        <w:rPr>
          <w:rFonts w:cs="Times New Roman"/>
        </w:rPr>
      </w:pPr>
      <w:r w:rsidRPr="001F0DA8">
        <w:rPr>
          <w:rFonts w:cs="Times New Roman"/>
          <w:smallCaps/>
        </w:rPr>
        <w:t>Scheftelowitz, M. ; Daniel-Gromke, J. ; Denysenko, V. ; Sauter, P. ; Naumann, K. ; Krautz, A. ; Beil, M. ; Beyrich, W. ; Peters, W. ; u. a.</w:t>
      </w:r>
      <w:r w:rsidRPr="001F0DA8">
        <w:rPr>
          <w:rFonts w:cs="Times New Roman"/>
        </w:rPr>
        <w:t xml:space="preserve">: </w:t>
      </w:r>
      <w:r w:rsidRPr="001F0DA8">
        <w:rPr>
          <w:rFonts w:cs="Times New Roman"/>
          <w:i/>
          <w:iCs/>
        </w:rPr>
        <w:t>Stromerzeugung aus Biomasse</w:t>
      </w:r>
      <w:r w:rsidRPr="001F0DA8">
        <w:rPr>
          <w:rFonts w:cs="Times New Roman"/>
        </w:rPr>
        <w:t xml:space="preserve"> (Zwischenbericht Nr. 03MAP250). Berlin : Bundesministerium für Umwelt, Naturschutz, Bau und Reaktorsicherheit, 2013</w:t>
      </w:r>
    </w:p>
    <w:p w:rsidR="001F0DA8" w:rsidRPr="001F0DA8" w:rsidRDefault="001F0DA8" w:rsidP="001F0DA8">
      <w:pPr>
        <w:pStyle w:val="Literaturverzeichnis"/>
        <w:rPr>
          <w:rFonts w:cs="Times New Roman"/>
        </w:rPr>
      </w:pPr>
      <w:r w:rsidRPr="001F0DA8">
        <w:rPr>
          <w:rFonts w:cs="Times New Roman"/>
          <w:smallCaps/>
        </w:rPr>
        <w:lastRenderedPageBreak/>
        <w:t>Van Stappen, F ; Brose, I. ; Schenkel, Y.</w:t>
      </w:r>
      <w:r w:rsidRPr="001F0DA8">
        <w:rPr>
          <w:rFonts w:cs="Times New Roman"/>
        </w:rPr>
        <w:t xml:space="preserve">: Direct and indirect land use changes issues in European sustainability initiatives: State-of-the-art, open issues and future developments. In: </w:t>
      </w:r>
      <w:r w:rsidRPr="001F0DA8">
        <w:rPr>
          <w:rFonts w:cs="Times New Roman"/>
          <w:i/>
          <w:iCs/>
        </w:rPr>
        <w:t>Biomass and Bioenergy</w:t>
      </w:r>
      <w:r w:rsidRPr="001F0DA8">
        <w:rPr>
          <w:rFonts w:cs="Times New Roman"/>
        </w:rPr>
        <w:t xml:space="preserve"> Bd. 35 (2011), Nr. 12, S. 4824–4834</w:t>
      </w:r>
    </w:p>
    <w:p w:rsidR="001F0DA8" w:rsidRPr="001F0DA8" w:rsidRDefault="001F0DA8" w:rsidP="001F0DA8">
      <w:pPr>
        <w:pStyle w:val="Literaturverzeichnis"/>
        <w:rPr>
          <w:rFonts w:cs="Times New Roman"/>
        </w:rPr>
      </w:pPr>
      <w:r w:rsidRPr="001F0DA8">
        <w:rPr>
          <w:rFonts w:cs="Times New Roman"/>
          <w:smallCaps/>
        </w:rPr>
        <w:t>Thrän, Daniela ; Pfeiffer, Diana ; Brosowski, André ; Fischer, E. ; Herrmann, André ; Majer, Stefan ; Oehmichen, Katja ; Schmersahl, R. ; Schröder, T. ; u. a.</w:t>
      </w:r>
      <w:r w:rsidRPr="001F0DA8">
        <w:rPr>
          <w:rFonts w:cs="Times New Roman"/>
        </w:rPr>
        <w:t xml:space="preserve"> ; </w:t>
      </w:r>
      <w:r w:rsidRPr="001F0DA8">
        <w:rPr>
          <w:rFonts w:cs="Times New Roman"/>
          <w:smallCaps/>
        </w:rPr>
        <w:t>Thrän, D. ; Pfeiffer, D.</w:t>
      </w:r>
      <w:r w:rsidRPr="001F0DA8">
        <w:rPr>
          <w:rFonts w:cs="Times New Roman"/>
        </w:rPr>
        <w:t xml:space="preserve"> (Hrsg.): </w:t>
      </w:r>
      <w:r w:rsidRPr="001F0DA8">
        <w:rPr>
          <w:rFonts w:cs="Times New Roman"/>
          <w:i/>
          <w:iCs/>
        </w:rPr>
        <w:t>Methodenhandbuch Stoffstromorientierte Bilanzierung der Klimagaseffekte</w:t>
      </w:r>
      <w:r w:rsidRPr="001F0DA8">
        <w:rPr>
          <w:rFonts w:cs="Times New Roman"/>
        </w:rPr>
        <w:t xml:space="preserve">, </w:t>
      </w:r>
      <w:r w:rsidRPr="001F0DA8">
        <w:rPr>
          <w:rFonts w:cs="Times New Roman"/>
          <w:i/>
          <w:iCs/>
        </w:rPr>
        <w:t>Schriftenreihe des BMU-Förderprogramm „Energetische Biomassenutzung“</w:t>
      </w:r>
      <w:r w:rsidRPr="001F0DA8">
        <w:rPr>
          <w:rFonts w:cs="Times New Roman"/>
        </w:rPr>
        <w:t>. Bd. 04. Leipzig DBFZ, 2013 — ISBN 2192-1806</w:t>
      </w:r>
    </w:p>
    <w:p w:rsidR="001F0DA8" w:rsidRPr="001F0DA8" w:rsidRDefault="001F0DA8" w:rsidP="001F0DA8">
      <w:pPr>
        <w:pStyle w:val="Literaturverzeichnis"/>
        <w:rPr>
          <w:rFonts w:cs="Times New Roman"/>
        </w:rPr>
      </w:pPr>
      <w:r w:rsidRPr="001F0DA8">
        <w:rPr>
          <w:rFonts w:cs="Times New Roman"/>
          <w:smallCaps/>
        </w:rPr>
        <w:t>UBA</w:t>
      </w:r>
      <w:r w:rsidRPr="001F0DA8">
        <w:rPr>
          <w:rFonts w:cs="Times New Roman"/>
        </w:rPr>
        <w:t>: Nationale Trendtabellen für die deutsche Berichterstattung atmosphärischer Emissionen seit 1990, Umweltbundesamt (2012)</w:t>
      </w:r>
    </w:p>
    <w:p w:rsidR="001F0DA8" w:rsidRPr="001F0DA8" w:rsidRDefault="001F0DA8" w:rsidP="001F0DA8">
      <w:pPr>
        <w:pStyle w:val="Literaturverzeichnis"/>
        <w:rPr>
          <w:rFonts w:cs="Times New Roman"/>
        </w:rPr>
      </w:pPr>
      <w:r w:rsidRPr="001F0DA8">
        <w:rPr>
          <w:rFonts w:cs="Times New Roman"/>
          <w:smallCaps/>
        </w:rPr>
        <w:t>Witt, J.</w:t>
      </w:r>
      <w:r w:rsidRPr="001F0DA8">
        <w:rPr>
          <w:rFonts w:cs="Times New Roman"/>
        </w:rPr>
        <w:t xml:space="preserve">: </w:t>
      </w:r>
      <w:r w:rsidRPr="001F0DA8">
        <w:rPr>
          <w:rFonts w:cs="Times New Roman"/>
          <w:i/>
          <w:iCs/>
        </w:rPr>
        <w:t>Holzpelletbereitstellung für Kleinfeuerungsanlagen - Analyse und Bewertung von Einflussmöglichkeiten auf die Brennstofffestigkeit</w:t>
      </w:r>
      <w:r w:rsidRPr="001F0DA8">
        <w:rPr>
          <w:rFonts w:cs="Times New Roman"/>
        </w:rPr>
        <w:t xml:space="preserve">, </w:t>
      </w:r>
      <w:r w:rsidRPr="001F0DA8">
        <w:rPr>
          <w:rFonts w:cs="Times New Roman"/>
          <w:i/>
          <w:iCs/>
        </w:rPr>
        <w:t>DBFZ Report</w:t>
      </w:r>
      <w:r w:rsidRPr="001F0DA8">
        <w:rPr>
          <w:rFonts w:cs="Times New Roman"/>
        </w:rPr>
        <w:t>. Leipzig : Deutsches Biomasseforschungszentrum gemeinnützige GmbH, 2012 — ISBN ISSN 2190-7944</w:t>
      </w:r>
    </w:p>
    <w:p w:rsidR="001F0DA8" w:rsidRPr="001F0DA8" w:rsidRDefault="001F0DA8" w:rsidP="001F0DA8">
      <w:pPr>
        <w:pStyle w:val="Literaturverzeichnis"/>
        <w:rPr>
          <w:rFonts w:cs="Times New Roman"/>
        </w:rPr>
      </w:pPr>
      <w:r w:rsidRPr="001F0DA8">
        <w:rPr>
          <w:rFonts w:cs="Times New Roman"/>
          <w:smallCaps/>
        </w:rPr>
        <w:t>WRI</w:t>
      </w:r>
      <w:r w:rsidRPr="001F0DA8">
        <w:rPr>
          <w:rFonts w:cs="Times New Roman"/>
        </w:rPr>
        <w:t>: Climate Analysis Indicators Tool (CAIT) version 9.0., World Resources Institute (2012)</w:t>
      </w:r>
    </w:p>
    <w:p w:rsidR="001F0DA8" w:rsidRPr="001F0DA8" w:rsidRDefault="001F0DA8" w:rsidP="001F0DA8">
      <w:pPr>
        <w:pStyle w:val="Literaturverzeichnis"/>
        <w:rPr>
          <w:rFonts w:cs="Times New Roman"/>
        </w:rPr>
      </w:pPr>
      <w:r w:rsidRPr="001F0DA8">
        <w:rPr>
          <w:rFonts w:cs="Times New Roman"/>
          <w:smallCaps/>
        </w:rPr>
        <w:t>ZSW</w:t>
      </w:r>
      <w:r w:rsidRPr="001F0DA8">
        <w:rPr>
          <w:rFonts w:cs="Times New Roman"/>
        </w:rPr>
        <w:t>: Erneuerbare Energien in Deutschland - Das Wichtigste im Jahr 2012 auf einen Blick (ZSW nach Arbeitsgruppe Erneuerbare Energien-Statistik (AGEE-Stat)) Stand: Dezember 2013, Zentrum für Sonnenenergie- und Wasserstoff-Forschung Baden-Württemberg (2013)</w:t>
      </w:r>
    </w:p>
    <w:p w:rsidR="001F0DA8" w:rsidRPr="001F0DA8" w:rsidRDefault="001F0DA8" w:rsidP="001F0DA8">
      <w:pPr>
        <w:pStyle w:val="Literaturverzeichnis"/>
        <w:rPr>
          <w:rFonts w:cs="Times New Roman"/>
        </w:rPr>
      </w:pPr>
      <w:r w:rsidRPr="001F0DA8">
        <w:rPr>
          <w:rFonts w:cs="Times New Roman"/>
          <w:smallCaps/>
        </w:rPr>
        <w:t>FNR</w:t>
      </w:r>
      <w:r w:rsidRPr="001F0DA8">
        <w:rPr>
          <w:rFonts w:cs="Times New Roman"/>
        </w:rPr>
        <w:t xml:space="preserve"> (Hrsg.): </w:t>
      </w:r>
      <w:r w:rsidRPr="001F0DA8">
        <w:rPr>
          <w:rFonts w:cs="Times New Roman"/>
          <w:i/>
          <w:iCs/>
        </w:rPr>
        <w:t>Einsatz von Biomasse zur bedarfsgerechten Energieerzeugung</w:t>
      </w:r>
      <w:r w:rsidRPr="001F0DA8">
        <w:rPr>
          <w:rFonts w:cs="Times New Roman"/>
        </w:rPr>
        <w:t xml:space="preserve">, </w:t>
      </w:r>
      <w:r w:rsidRPr="001F0DA8">
        <w:rPr>
          <w:rFonts w:cs="Times New Roman"/>
          <w:i/>
          <w:iCs/>
        </w:rPr>
        <w:t>Schriftenreihe Nachwachsende Rohstoffe</w:t>
      </w:r>
      <w:r w:rsidRPr="001F0DA8">
        <w:rPr>
          <w:rFonts w:cs="Times New Roman"/>
        </w:rPr>
        <w:t>. Bd. 32 : Fachagentur Nachwachsende Rohstoffe, 2014 — ISBN 978-3-942147-16-3</w:t>
      </w:r>
    </w:p>
    <w:p w:rsidR="009F45C8" w:rsidRDefault="009D5C7F" w:rsidP="00E306A5">
      <w:r>
        <w:fldChar w:fldCharType="end"/>
      </w:r>
    </w:p>
    <w:p w:rsidR="009F45C8" w:rsidRPr="00E306A5" w:rsidRDefault="009F45C8" w:rsidP="00E306A5">
      <w:r>
        <w:br w:type="column"/>
      </w:r>
    </w:p>
    <w:tbl>
      <w:tblPr>
        <w:tblW w:w="5000" w:type="pct"/>
        <w:tblCellSpacing w:w="7" w:type="dxa"/>
        <w:tblCellMar>
          <w:top w:w="45" w:type="dxa"/>
          <w:left w:w="45" w:type="dxa"/>
          <w:bottom w:w="45" w:type="dxa"/>
          <w:right w:w="45" w:type="dxa"/>
        </w:tblCellMar>
        <w:tblLook w:val="04A0"/>
      </w:tblPr>
      <w:tblGrid>
        <w:gridCol w:w="1576"/>
        <w:gridCol w:w="7614"/>
      </w:tblGrid>
      <w:tr w:rsidR="009F45C8" w:rsidRPr="00591371" w:rsidTr="00A133F8">
        <w:trPr>
          <w:tblCellSpacing w:w="7" w:type="dxa"/>
        </w:trPr>
        <w:tc>
          <w:tcPr>
            <w:tcW w:w="850" w:type="pct"/>
            <w:vAlign w:val="center"/>
            <w:hideMark/>
          </w:tcPr>
          <w:p w:rsidR="009F45C8" w:rsidRPr="00591371" w:rsidRDefault="009F45C8" w:rsidP="00A133F8">
            <w:pPr>
              <w:rPr>
                <w:rFonts w:eastAsia="Times New Roman" w:cs="Times New Roman"/>
                <w:szCs w:val="24"/>
                <w:lang w:eastAsia="de-DE"/>
              </w:rPr>
            </w:pPr>
            <w:r w:rsidRPr="00591371">
              <w:rPr>
                <w:rFonts w:eastAsia="Times New Roman" w:cs="Times New Roman"/>
                <w:szCs w:val="24"/>
                <w:lang w:eastAsia="de-DE"/>
              </w:rPr>
              <w:t>Von</w:t>
            </w:r>
          </w:p>
        </w:tc>
        <w:tc>
          <w:tcPr>
            <w:tcW w:w="4150" w:type="pct"/>
            <w:vAlign w:val="center"/>
            <w:hideMark/>
          </w:tcPr>
          <w:p w:rsidR="009F45C8" w:rsidRPr="00591371" w:rsidRDefault="009F45C8" w:rsidP="00A133F8">
            <w:pPr>
              <w:rPr>
                <w:rFonts w:eastAsia="Times New Roman" w:cs="Times New Roman"/>
                <w:szCs w:val="24"/>
                <w:lang w:eastAsia="de-DE"/>
              </w:rPr>
            </w:pPr>
            <w:r w:rsidRPr="00591371">
              <w:rPr>
                <w:rFonts w:eastAsia="Times New Roman" w:cs="Times New Roman"/>
                <w:szCs w:val="24"/>
                <w:lang w:eastAsia="de-DE"/>
              </w:rPr>
              <w:t xml:space="preserve">"Daniela </w:t>
            </w:r>
            <w:proofErr w:type="spellStart"/>
            <w:r w:rsidRPr="00591371">
              <w:rPr>
                <w:rFonts w:eastAsia="Times New Roman" w:cs="Times New Roman"/>
                <w:szCs w:val="24"/>
                <w:lang w:eastAsia="de-DE"/>
              </w:rPr>
              <w:t>Thrän</w:t>
            </w:r>
            <w:proofErr w:type="spellEnd"/>
            <w:r w:rsidRPr="00591371">
              <w:rPr>
                <w:rFonts w:eastAsia="Times New Roman" w:cs="Times New Roman"/>
                <w:szCs w:val="24"/>
                <w:lang w:eastAsia="de-DE"/>
              </w:rPr>
              <w:t>"=&lt;daniela.thraen@ufz.de&gt;</w:t>
            </w:r>
          </w:p>
        </w:tc>
      </w:tr>
      <w:tr w:rsidR="009F45C8" w:rsidRPr="00591371" w:rsidTr="00A133F8">
        <w:trPr>
          <w:tblCellSpacing w:w="7" w:type="dxa"/>
        </w:trPr>
        <w:tc>
          <w:tcPr>
            <w:tcW w:w="0" w:type="auto"/>
            <w:vAlign w:val="center"/>
            <w:hideMark/>
          </w:tcPr>
          <w:p w:rsidR="009F45C8" w:rsidRPr="00591371" w:rsidRDefault="009F45C8" w:rsidP="00A133F8">
            <w:pPr>
              <w:rPr>
                <w:rFonts w:eastAsia="Times New Roman" w:cs="Times New Roman"/>
                <w:szCs w:val="24"/>
                <w:lang w:eastAsia="de-DE"/>
              </w:rPr>
            </w:pPr>
            <w:r w:rsidRPr="00591371">
              <w:rPr>
                <w:rFonts w:eastAsia="Times New Roman" w:cs="Times New Roman"/>
                <w:szCs w:val="24"/>
                <w:lang w:eastAsia="de-DE"/>
              </w:rPr>
              <w:t>An</w:t>
            </w:r>
          </w:p>
        </w:tc>
        <w:tc>
          <w:tcPr>
            <w:tcW w:w="0" w:type="auto"/>
            <w:vAlign w:val="center"/>
            <w:hideMark/>
          </w:tcPr>
          <w:p w:rsidR="009F45C8" w:rsidRPr="00591371" w:rsidRDefault="009F45C8" w:rsidP="00A133F8">
            <w:pPr>
              <w:rPr>
                <w:rFonts w:eastAsia="Times New Roman" w:cs="Times New Roman"/>
                <w:szCs w:val="24"/>
                <w:lang w:eastAsia="de-DE"/>
              </w:rPr>
            </w:pPr>
            <w:r w:rsidRPr="00591371">
              <w:rPr>
                <w:rFonts w:eastAsia="Times New Roman" w:cs="Times New Roman"/>
                <w:szCs w:val="24"/>
                <w:lang w:eastAsia="de-DE"/>
              </w:rPr>
              <w:t>ake@bruhns.info, luther.gerhard@ingenieur.de</w:t>
            </w:r>
          </w:p>
        </w:tc>
      </w:tr>
      <w:tr w:rsidR="009F45C8" w:rsidRPr="00591371" w:rsidTr="00A133F8">
        <w:trPr>
          <w:tblCellSpacing w:w="7" w:type="dxa"/>
        </w:trPr>
        <w:tc>
          <w:tcPr>
            <w:tcW w:w="0" w:type="auto"/>
            <w:vAlign w:val="center"/>
            <w:hideMark/>
          </w:tcPr>
          <w:p w:rsidR="009F45C8" w:rsidRPr="00591371" w:rsidRDefault="009F45C8" w:rsidP="00A133F8">
            <w:pPr>
              <w:rPr>
                <w:rFonts w:eastAsia="Times New Roman" w:cs="Times New Roman"/>
                <w:szCs w:val="24"/>
                <w:lang w:eastAsia="de-DE"/>
              </w:rPr>
            </w:pPr>
            <w:r w:rsidRPr="00591371">
              <w:rPr>
                <w:rFonts w:eastAsia="Times New Roman" w:cs="Times New Roman"/>
                <w:szCs w:val="24"/>
                <w:lang w:eastAsia="de-DE"/>
              </w:rPr>
              <w:t>Cc</w:t>
            </w:r>
          </w:p>
        </w:tc>
        <w:tc>
          <w:tcPr>
            <w:tcW w:w="0" w:type="auto"/>
            <w:vAlign w:val="center"/>
            <w:hideMark/>
          </w:tcPr>
          <w:p w:rsidR="009F45C8" w:rsidRPr="00591371" w:rsidRDefault="009F45C8" w:rsidP="00A133F8">
            <w:pPr>
              <w:rPr>
                <w:rFonts w:eastAsia="Times New Roman" w:cs="Times New Roman"/>
                <w:szCs w:val="24"/>
                <w:lang w:eastAsia="de-DE"/>
              </w:rPr>
            </w:pPr>
            <w:r w:rsidRPr="00591371">
              <w:rPr>
                <w:rFonts w:eastAsia="Times New Roman" w:cs="Times New Roman"/>
                <w:szCs w:val="24"/>
                <w:lang w:eastAsia="de-DE"/>
              </w:rPr>
              <w:t>"</w:t>
            </w:r>
            <w:proofErr w:type="spellStart"/>
            <w:r w:rsidRPr="00591371">
              <w:rPr>
                <w:rFonts w:eastAsia="Times New Roman" w:cs="Times New Roman"/>
                <w:szCs w:val="24"/>
                <w:lang w:eastAsia="de-DE"/>
              </w:rPr>
              <w:t>Ponitka</w:t>
            </w:r>
            <w:proofErr w:type="spellEnd"/>
            <w:r w:rsidRPr="00591371">
              <w:rPr>
                <w:rFonts w:eastAsia="Times New Roman" w:cs="Times New Roman"/>
                <w:szCs w:val="24"/>
                <w:lang w:eastAsia="de-DE"/>
              </w:rPr>
              <w:t>, Jens" &lt;jens.ponitka@dbfz.de&gt;</w:t>
            </w:r>
          </w:p>
        </w:tc>
      </w:tr>
      <w:tr w:rsidR="009F45C8" w:rsidRPr="00591371" w:rsidTr="00A133F8">
        <w:trPr>
          <w:tblCellSpacing w:w="7" w:type="dxa"/>
        </w:trPr>
        <w:tc>
          <w:tcPr>
            <w:tcW w:w="0" w:type="auto"/>
            <w:vAlign w:val="center"/>
            <w:hideMark/>
          </w:tcPr>
          <w:p w:rsidR="009F45C8" w:rsidRPr="00591371" w:rsidRDefault="009F45C8" w:rsidP="00A133F8">
            <w:pPr>
              <w:rPr>
                <w:rFonts w:eastAsia="Times New Roman" w:cs="Times New Roman"/>
                <w:szCs w:val="24"/>
                <w:lang w:eastAsia="de-DE"/>
              </w:rPr>
            </w:pPr>
            <w:r w:rsidRPr="00591371">
              <w:rPr>
                <w:rFonts w:eastAsia="Times New Roman" w:cs="Times New Roman"/>
                <w:szCs w:val="24"/>
                <w:lang w:eastAsia="de-DE"/>
              </w:rPr>
              <w:t>Datum</w:t>
            </w:r>
          </w:p>
        </w:tc>
        <w:tc>
          <w:tcPr>
            <w:tcW w:w="0" w:type="auto"/>
            <w:vAlign w:val="center"/>
            <w:hideMark/>
          </w:tcPr>
          <w:p w:rsidR="009F45C8" w:rsidRPr="00591371" w:rsidRDefault="009F45C8" w:rsidP="00A133F8">
            <w:pPr>
              <w:rPr>
                <w:rFonts w:eastAsia="Times New Roman" w:cs="Times New Roman"/>
                <w:szCs w:val="24"/>
                <w:lang w:eastAsia="de-DE"/>
              </w:rPr>
            </w:pPr>
            <w:r w:rsidRPr="00591371">
              <w:rPr>
                <w:rFonts w:eastAsia="Times New Roman" w:cs="Times New Roman"/>
                <w:szCs w:val="24"/>
                <w:lang w:eastAsia="de-DE"/>
              </w:rPr>
              <w:t>Thu, 26 Jun 2014 18:10:15 +0200</w:t>
            </w:r>
          </w:p>
        </w:tc>
      </w:tr>
      <w:tr w:rsidR="009F45C8" w:rsidRPr="00591371" w:rsidTr="00A133F8">
        <w:trPr>
          <w:tblCellSpacing w:w="7" w:type="dxa"/>
        </w:trPr>
        <w:tc>
          <w:tcPr>
            <w:tcW w:w="0" w:type="auto"/>
            <w:vAlign w:val="center"/>
            <w:hideMark/>
          </w:tcPr>
          <w:p w:rsidR="009F45C8" w:rsidRPr="00591371" w:rsidRDefault="009F45C8" w:rsidP="00A133F8">
            <w:pPr>
              <w:rPr>
                <w:rFonts w:eastAsia="Times New Roman" w:cs="Times New Roman"/>
                <w:szCs w:val="24"/>
                <w:lang w:eastAsia="de-DE"/>
              </w:rPr>
            </w:pPr>
            <w:r w:rsidRPr="00591371">
              <w:rPr>
                <w:rFonts w:eastAsia="Times New Roman" w:cs="Times New Roman"/>
                <w:szCs w:val="24"/>
                <w:lang w:eastAsia="de-DE"/>
              </w:rPr>
              <w:t>Priorität</w:t>
            </w:r>
          </w:p>
        </w:tc>
        <w:tc>
          <w:tcPr>
            <w:tcW w:w="0" w:type="auto"/>
            <w:vAlign w:val="center"/>
            <w:hideMark/>
          </w:tcPr>
          <w:p w:rsidR="009F45C8" w:rsidRPr="00591371" w:rsidRDefault="009F45C8" w:rsidP="00A133F8">
            <w:pPr>
              <w:rPr>
                <w:rFonts w:eastAsia="Times New Roman" w:cs="Times New Roman"/>
                <w:szCs w:val="24"/>
                <w:lang w:eastAsia="de-DE"/>
              </w:rPr>
            </w:pPr>
            <w:r w:rsidRPr="00591371">
              <w:rPr>
                <w:rFonts w:eastAsia="Times New Roman" w:cs="Times New Roman"/>
                <w:szCs w:val="24"/>
                <w:lang w:eastAsia="de-DE"/>
              </w:rPr>
              <w:t>3</w:t>
            </w:r>
          </w:p>
        </w:tc>
      </w:tr>
      <w:tr w:rsidR="009F45C8" w:rsidRPr="00591371" w:rsidTr="00A133F8">
        <w:trPr>
          <w:tblCellSpacing w:w="7" w:type="dxa"/>
        </w:trPr>
        <w:tc>
          <w:tcPr>
            <w:tcW w:w="0" w:type="auto"/>
            <w:vAlign w:val="center"/>
            <w:hideMark/>
          </w:tcPr>
          <w:p w:rsidR="009F45C8" w:rsidRPr="00591371" w:rsidRDefault="009F45C8" w:rsidP="00A133F8">
            <w:pPr>
              <w:rPr>
                <w:rFonts w:eastAsia="Times New Roman" w:cs="Times New Roman"/>
                <w:szCs w:val="24"/>
                <w:lang w:eastAsia="de-DE"/>
              </w:rPr>
            </w:pPr>
            <w:r w:rsidRPr="00591371">
              <w:rPr>
                <w:rFonts w:eastAsia="Times New Roman" w:cs="Times New Roman"/>
                <w:szCs w:val="24"/>
                <w:lang w:eastAsia="de-DE"/>
              </w:rPr>
              <w:t>Pfad</w:t>
            </w:r>
          </w:p>
        </w:tc>
        <w:tc>
          <w:tcPr>
            <w:tcW w:w="0" w:type="auto"/>
            <w:vAlign w:val="center"/>
            <w:hideMark/>
          </w:tcPr>
          <w:p w:rsidR="009F45C8" w:rsidRPr="00591371" w:rsidRDefault="009F45C8" w:rsidP="00A133F8">
            <w:pPr>
              <w:rPr>
                <w:rFonts w:eastAsia="Times New Roman" w:cs="Times New Roman"/>
                <w:szCs w:val="24"/>
                <w:lang w:eastAsia="de-DE"/>
              </w:rPr>
            </w:pPr>
            <w:hyperlink r:id="rId18" w:tooltip="Link zu: Ordner" w:history="1">
              <w:r w:rsidRPr="00591371">
                <w:rPr>
                  <w:rFonts w:eastAsia="Times New Roman" w:cs="Times New Roman"/>
                  <w:color w:val="0000FF"/>
                  <w:szCs w:val="24"/>
                  <w:u w:val="single"/>
                  <w:lang w:eastAsia="de-DE"/>
                </w:rPr>
                <w:t xml:space="preserve">luther.gerhard@ingenieur.de </w:t>
              </w:r>
            </w:hyperlink>
          </w:p>
        </w:tc>
      </w:tr>
    </w:tbl>
    <w:p w:rsidR="009F45C8" w:rsidRPr="00591371" w:rsidRDefault="009F45C8" w:rsidP="009F45C8">
      <w:pPr>
        <w:outlineLvl w:val="2"/>
        <w:rPr>
          <w:rFonts w:eastAsia="Times New Roman" w:cs="Times New Roman"/>
          <w:b/>
          <w:bCs/>
          <w:sz w:val="27"/>
          <w:szCs w:val="27"/>
          <w:lang w:eastAsia="de-DE"/>
        </w:rPr>
      </w:pPr>
      <w:r w:rsidRPr="00591371">
        <w:rPr>
          <w:rFonts w:eastAsia="Times New Roman" w:cs="Times New Roman"/>
          <w:b/>
          <w:bCs/>
          <w:sz w:val="27"/>
          <w:szCs w:val="27"/>
          <w:lang w:eastAsia="de-DE"/>
        </w:rPr>
        <w:t>Tagungsbeitrag DPG für Tagungsband</w:t>
      </w:r>
    </w:p>
    <w:p w:rsidR="009F45C8" w:rsidRDefault="009F45C8" w:rsidP="009F45C8">
      <w:pPr>
        <w:rPr>
          <w:rFonts w:eastAsia="Times New Roman" w:cs="Times New Roman"/>
          <w:szCs w:val="24"/>
          <w:lang w:eastAsia="de-DE"/>
        </w:rPr>
      </w:pPr>
      <w:r w:rsidRPr="00591371">
        <w:rPr>
          <w:rFonts w:eastAsia="Times New Roman" w:cs="Times New Roman"/>
          <w:szCs w:val="24"/>
          <w:lang w:eastAsia="de-DE"/>
        </w:rPr>
        <w:t xml:space="preserve">Sehr geehrter Herr Bruhns, sehr geehrter Herr Luther, </w:t>
      </w:r>
      <w:r w:rsidRPr="00591371">
        <w:rPr>
          <w:rFonts w:eastAsia="Times New Roman" w:cs="Times New Roman"/>
          <w:szCs w:val="24"/>
          <w:lang w:eastAsia="de-DE"/>
        </w:rPr>
        <w:br/>
      </w:r>
      <w:r w:rsidRPr="00591371">
        <w:rPr>
          <w:rFonts w:eastAsia="Times New Roman" w:cs="Times New Roman"/>
          <w:szCs w:val="24"/>
          <w:lang w:eastAsia="de-DE"/>
        </w:rPr>
        <w:br/>
        <w:t xml:space="preserve">anbei erhalten Sie unseren Beitrag zum Tagungsband als Worddatei. Für Rückfragen stehe ich gern zur Verfügung. Viele Grüße </w:t>
      </w:r>
      <w:r w:rsidRPr="00591371">
        <w:rPr>
          <w:rFonts w:eastAsia="Times New Roman" w:cs="Times New Roman"/>
          <w:szCs w:val="24"/>
          <w:lang w:eastAsia="de-DE"/>
        </w:rPr>
        <w:br/>
      </w:r>
    </w:p>
    <w:p w:rsidR="009F45C8" w:rsidRPr="00591371" w:rsidRDefault="009F45C8" w:rsidP="009F45C8">
      <w:pPr>
        <w:rPr>
          <w:rFonts w:eastAsia="Times New Roman" w:cs="Times New Roman"/>
          <w:szCs w:val="24"/>
          <w:lang w:eastAsia="de-DE"/>
        </w:rPr>
      </w:pPr>
      <w:r w:rsidRPr="00591371">
        <w:rPr>
          <w:rFonts w:eastAsia="Times New Roman" w:cs="Times New Roman"/>
          <w:szCs w:val="24"/>
          <w:lang w:eastAsia="de-DE"/>
        </w:rPr>
        <w:t xml:space="preserve">Daniela </w:t>
      </w:r>
      <w:proofErr w:type="spellStart"/>
      <w:r w:rsidRPr="00591371">
        <w:rPr>
          <w:rFonts w:eastAsia="Times New Roman" w:cs="Times New Roman"/>
          <w:szCs w:val="24"/>
          <w:lang w:eastAsia="de-DE"/>
        </w:rPr>
        <w:t>Thrän</w:t>
      </w:r>
      <w:proofErr w:type="spellEnd"/>
      <w:r w:rsidRPr="00591371">
        <w:rPr>
          <w:rFonts w:eastAsia="Times New Roman" w:cs="Times New Roman"/>
          <w:szCs w:val="24"/>
          <w:lang w:eastAsia="de-DE"/>
        </w:rPr>
        <w:t xml:space="preserve"> </w:t>
      </w:r>
      <w:r w:rsidRPr="00591371">
        <w:rPr>
          <w:rFonts w:eastAsia="Times New Roman" w:cs="Times New Roman"/>
          <w:szCs w:val="24"/>
          <w:lang w:eastAsia="de-DE"/>
        </w:rPr>
        <w:br/>
        <w:t xml:space="preserve">Prof. Dr.-Ing. Daniela </w:t>
      </w:r>
      <w:proofErr w:type="spellStart"/>
      <w:r w:rsidRPr="00591371">
        <w:rPr>
          <w:rFonts w:eastAsia="Times New Roman" w:cs="Times New Roman"/>
          <w:szCs w:val="24"/>
          <w:lang w:eastAsia="de-DE"/>
        </w:rPr>
        <w:t>Thrän</w:t>
      </w:r>
      <w:proofErr w:type="spellEnd"/>
      <w:r w:rsidRPr="00591371">
        <w:rPr>
          <w:rFonts w:eastAsia="Times New Roman" w:cs="Times New Roman"/>
          <w:szCs w:val="24"/>
          <w:lang w:eastAsia="de-DE"/>
        </w:rPr>
        <w:t xml:space="preserve"> </w:t>
      </w:r>
      <w:r w:rsidRPr="00591371">
        <w:rPr>
          <w:rFonts w:eastAsia="Times New Roman" w:cs="Times New Roman"/>
          <w:szCs w:val="24"/>
          <w:lang w:eastAsia="de-DE"/>
        </w:rPr>
        <w:br/>
        <w:t xml:space="preserve">Leiterin Department Bioenergie (BEN) </w:t>
      </w:r>
      <w:r w:rsidRPr="00591371">
        <w:rPr>
          <w:rFonts w:eastAsia="Times New Roman" w:cs="Times New Roman"/>
          <w:szCs w:val="24"/>
          <w:lang w:eastAsia="de-DE"/>
        </w:rPr>
        <w:br/>
        <w:t xml:space="preserve">Helmholtz-Zentrum für Umweltforschung GmbH - UFZ </w:t>
      </w:r>
      <w:r w:rsidRPr="00591371">
        <w:rPr>
          <w:rFonts w:eastAsia="Times New Roman" w:cs="Times New Roman"/>
          <w:szCs w:val="24"/>
          <w:lang w:eastAsia="de-DE"/>
        </w:rPr>
        <w:br/>
      </w:r>
    </w:p>
    <w:p w:rsidR="009F45C8" w:rsidRDefault="009F45C8" w:rsidP="009F45C8"/>
    <w:p w:rsidR="00E306A5" w:rsidRPr="00E306A5" w:rsidRDefault="00E306A5" w:rsidP="00E306A5"/>
    <w:sectPr w:rsidR="00E306A5" w:rsidRPr="00E306A5" w:rsidSect="00012E8A">
      <w:headerReference w:type="default" r:id="rId19"/>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0843" w:rsidRDefault="00220843" w:rsidP="00705817">
      <w:pPr>
        <w:spacing w:after="0" w:line="240" w:lineRule="auto"/>
      </w:pPr>
      <w:r>
        <w:separator/>
      </w:r>
    </w:p>
  </w:endnote>
  <w:endnote w:type="continuationSeparator" w:id="0">
    <w:p w:rsidR="00220843" w:rsidRDefault="00220843" w:rsidP="007058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0843" w:rsidRDefault="00220843" w:rsidP="00705817">
      <w:pPr>
        <w:spacing w:after="0" w:line="240" w:lineRule="auto"/>
      </w:pPr>
      <w:r>
        <w:separator/>
      </w:r>
    </w:p>
  </w:footnote>
  <w:footnote w:type="continuationSeparator" w:id="0">
    <w:p w:rsidR="00220843" w:rsidRDefault="00220843" w:rsidP="0070581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el"/>
      <w:id w:val="77738743"/>
      <w:placeholder>
        <w:docPart w:val="E9B1D5614434472795C8CEBF6BF6D4C3"/>
      </w:placeholder>
      <w:dataBinding w:prefixMappings="xmlns:ns0='http://schemas.openxmlformats.org/package/2006/metadata/core-properties' xmlns:ns1='http://purl.org/dc/elements/1.1/'" w:xpath="/ns0:coreProperties[1]/ns1:title[1]" w:storeItemID="{6C3C8BC8-F283-45AE-878A-BAB7291924A1}"/>
      <w:text/>
    </w:sdtPr>
    <w:sdtContent>
      <w:p w:rsidR="00705817" w:rsidRDefault="00705817">
        <w:pPr>
          <w:pStyle w:val="Kopfzeil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Arbeitskreis Energie in der DPG</w:t>
        </w:r>
        <w:r w:rsidR="00F24990">
          <w:rPr>
            <w:rFonts w:asciiTheme="majorHAnsi" w:eastAsiaTheme="majorEastAsia" w:hAnsiTheme="majorHAnsi" w:cstheme="majorBidi"/>
            <w:sz w:val="32"/>
            <w:szCs w:val="32"/>
          </w:rPr>
          <w:t xml:space="preserve"> (AKE)</w:t>
        </w:r>
      </w:p>
    </w:sdtContent>
  </w:sdt>
  <w:p w:rsidR="00705817" w:rsidRDefault="00705817">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numFmt w:val="bullet"/>
      <w:lvlText w:val="-"/>
      <w:lvlJc w:val="left"/>
      <w:pPr>
        <w:tabs>
          <w:tab w:val="num" w:pos="720"/>
        </w:tabs>
        <w:ind w:left="720" w:hanging="360"/>
      </w:pPr>
      <w:rPr>
        <w:rFonts w:ascii="Times New Roman" w:hAnsi="Times New Roman" w:cs="Symbol"/>
      </w:rPr>
    </w:lvl>
  </w:abstractNum>
  <w:abstractNum w:abstractNumId="1">
    <w:nsid w:val="07A32AF4"/>
    <w:multiLevelType w:val="hybridMultilevel"/>
    <w:tmpl w:val="8222B250"/>
    <w:lvl w:ilvl="0" w:tplc="96A491D0">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92032F5"/>
    <w:multiLevelType w:val="hybridMultilevel"/>
    <w:tmpl w:val="19AC230A"/>
    <w:lvl w:ilvl="0" w:tplc="C0AE675A">
      <w:start w:val="1"/>
      <w:numFmt w:val="bullet"/>
      <w:lvlText w:val=""/>
      <w:lvlJc w:val="left"/>
      <w:pPr>
        <w:tabs>
          <w:tab w:val="num" w:pos="720"/>
        </w:tabs>
        <w:ind w:left="720" w:hanging="360"/>
      </w:pPr>
      <w:rPr>
        <w:rFonts w:ascii="Wingdings 2" w:hAnsi="Wingdings 2" w:hint="default"/>
      </w:rPr>
    </w:lvl>
    <w:lvl w:ilvl="1" w:tplc="78247836" w:tentative="1">
      <w:start w:val="1"/>
      <w:numFmt w:val="bullet"/>
      <w:lvlText w:val=""/>
      <w:lvlJc w:val="left"/>
      <w:pPr>
        <w:tabs>
          <w:tab w:val="num" w:pos="1440"/>
        </w:tabs>
        <w:ind w:left="1440" w:hanging="360"/>
      </w:pPr>
      <w:rPr>
        <w:rFonts w:ascii="Wingdings 2" w:hAnsi="Wingdings 2" w:hint="default"/>
      </w:rPr>
    </w:lvl>
    <w:lvl w:ilvl="2" w:tplc="2AC42716" w:tentative="1">
      <w:start w:val="1"/>
      <w:numFmt w:val="bullet"/>
      <w:lvlText w:val=""/>
      <w:lvlJc w:val="left"/>
      <w:pPr>
        <w:tabs>
          <w:tab w:val="num" w:pos="2160"/>
        </w:tabs>
        <w:ind w:left="2160" w:hanging="360"/>
      </w:pPr>
      <w:rPr>
        <w:rFonts w:ascii="Wingdings 2" w:hAnsi="Wingdings 2" w:hint="default"/>
      </w:rPr>
    </w:lvl>
    <w:lvl w:ilvl="3" w:tplc="D1427EC2" w:tentative="1">
      <w:start w:val="1"/>
      <w:numFmt w:val="bullet"/>
      <w:lvlText w:val=""/>
      <w:lvlJc w:val="left"/>
      <w:pPr>
        <w:tabs>
          <w:tab w:val="num" w:pos="2880"/>
        </w:tabs>
        <w:ind w:left="2880" w:hanging="360"/>
      </w:pPr>
      <w:rPr>
        <w:rFonts w:ascii="Wingdings 2" w:hAnsi="Wingdings 2" w:hint="default"/>
      </w:rPr>
    </w:lvl>
    <w:lvl w:ilvl="4" w:tplc="5E3A40DE" w:tentative="1">
      <w:start w:val="1"/>
      <w:numFmt w:val="bullet"/>
      <w:lvlText w:val=""/>
      <w:lvlJc w:val="left"/>
      <w:pPr>
        <w:tabs>
          <w:tab w:val="num" w:pos="3600"/>
        </w:tabs>
        <w:ind w:left="3600" w:hanging="360"/>
      </w:pPr>
      <w:rPr>
        <w:rFonts w:ascii="Wingdings 2" w:hAnsi="Wingdings 2" w:hint="default"/>
      </w:rPr>
    </w:lvl>
    <w:lvl w:ilvl="5" w:tplc="DB8E6038" w:tentative="1">
      <w:start w:val="1"/>
      <w:numFmt w:val="bullet"/>
      <w:lvlText w:val=""/>
      <w:lvlJc w:val="left"/>
      <w:pPr>
        <w:tabs>
          <w:tab w:val="num" w:pos="4320"/>
        </w:tabs>
        <w:ind w:left="4320" w:hanging="360"/>
      </w:pPr>
      <w:rPr>
        <w:rFonts w:ascii="Wingdings 2" w:hAnsi="Wingdings 2" w:hint="default"/>
      </w:rPr>
    </w:lvl>
    <w:lvl w:ilvl="6" w:tplc="A30EE4B8" w:tentative="1">
      <w:start w:val="1"/>
      <w:numFmt w:val="bullet"/>
      <w:lvlText w:val=""/>
      <w:lvlJc w:val="left"/>
      <w:pPr>
        <w:tabs>
          <w:tab w:val="num" w:pos="5040"/>
        </w:tabs>
        <w:ind w:left="5040" w:hanging="360"/>
      </w:pPr>
      <w:rPr>
        <w:rFonts w:ascii="Wingdings 2" w:hAnsi="Wingdings 2" w:hint="default"/>
      </w:rPr>
    </w:lvl>
    <w:lvl w:ilvl="7" w:tplc="242AC76C" w:tentative="1">
      <w:start w:val="1"/>
      <w:numFmt w:val="bullet"/>
      <w:lvlText w:val=""/>
      <w:lvlJc w:val="left"/>
      <w:pPr>
        <w:tabs>
          <w:tab w:val="num" w:pos="5760"/>
        </w:tabs>
        <w:ind w:left="5760" w:hanging="360"/>
      </w:pPr>
      <w:rPr>
        <w:rFonts w:ascii="Wingdings 2" w:hAnsi="Wingdings 2" w:hint="default"/>
      </w:rPr>
    </w:lvl>
    <w:lvl w:ilvl="8" w:tplc="3384BD5A" w:tentative="1">
      <w:start w:val="1"/>
      <w:numFmt w:val="bullet"/>
      <w:lvlText w:val=""/>
      <w:lvlJc w:val="left"/>
      <w:pPr>
        <w:tabs>
          <w:tab w:val="num" w:pos="6480"/>
        </w:tabs>
        <w:ind w:left="6480" w:hanging="360"/>
      </w:pPr>
      <w:rPr>
        <w:rFonts w:ascii="Wingdings 2" w:hAnsi="Wingdings 2" w:hint="default"/>
      </w:rPr>
    </w:lvl>
  </w:abstractNum>
  <w:abstractNum w:abstractNumId="3">
    <w:nsid w:val="0D0A6FAD"/>
    <w:multiLevelType w:val="multilevel"/>
    <w:tmpl w:val="35903BD6"/>
    <w:lvl w:ilvl="0">
      <w:start w:val="1"/>
      <w:numFmt w:val="bullet"/>
      <w:lvlText w:val=""/>
      <w:lvlJc w:val="left"/>
      <w:pPr>
        <w:tabs>
          <w:tab w:val="num" w:pos="680"/>
        </w:tabs>
        <w:ind w:left="680" w:hanging="396"/>
      </w:pPr>
      <w:rPr>
        <w:rFonts w:ascii="Symbol" w:hAnsi="Symbol" w:hint="default"/>
        <w:color w:val="77B800"/>
      </w:rPr>
    </w:lvl>
    <w:lvl w:ilvl="1">
      <w:start w:val="1"/>
      <w:numFmt w:val="bullet"/>
      <w:lvlText w:val=""/>
      <w:lvlJc w:val="left"/>
      <w:pPr>
        <w:tabs>
          <w:tab w:val="num" w:pos="1077"/>
        </w:tabs>
        <w:ind w:left="1077" w:hanging="397"/>
      </w:pPr>
      <w:rPr>
        <w:rFonts w:ascii="Wingdings" w:hAnsi="Wingdings" w:hint="default"/>
        <w:color w:val="77B800"/>
      </w:rPr>
    </w:lvl>
    <w:lvl w:ilvl="2">
      <w:start w:val="1"/>
      <w:numFmt w:val="bullet"/>
      <w:lvlText w:val=""/>
      <w:lvlJc w:val="left"/>
      <w:pPr>
        <w:tabs>
          <w:tab w:val="num" w:pos="1474"/>
        </w:tabs>
        <w:ind w:left="1474" w:hanging="397"/>
      </w:pPr>
      <w:rPr>
        <w:rFonts w:ascii="Wingdings" w:hAnsi="Wingdings" w:hint="default"/>
        <w:color w:val="77B800"/>
      </w:rPr>
    </w:lvl>
    <w:lvl w:ilvl="3">
      <w:start w:val="1"/>
      <w:numFmt w:val="bullet"/>
      <w:lvlText w:val=""/>
      <w:lvlJc w:val="left"/>
      <w:pPr>
        <w:tabs>
          <w:tab w:val="num" w:pos="1871"/>
        </w:tabs>
        <w:ind w:left="1871" w:hanging="397"/>
      </w:pPr>
      <w:rPr>
        <w:rFonts w:ascii="Wingdings" w:hAnsi="Wingdings" w:hint="default"/>
        <w:color w:val="77B800"/>
      </w:rPr>
    </w:lvl>
    <w:lvl w:ilvl="4">
      <w:start w:val="1"/>
      <w:numFmt w:val="bullet"/>
      <w:lvlText w:val=""/>
      <w:lvlJc w:val="left"/>
      <w:pPr>
        <w:tabs>
          <w:tab w:val="num" w:pos="2268"/>
        </w:tabs>
        <w:ind w:left="2268" w:hanging="397"/>
      </w:pPr>
      <w:rPr>
        <w:rFonts w:ascii="Symbol" w:hAnsi="Symbol" w:hint="default"/>
      </w:rPr>
    </w:lvl>
    <w:lvl w:ilvl="5">
      <w:start w:val="1"/>
      <w:numFmt w:val="bullet"/>
      <w:lvlText w:val=""/>
      <w:lvlJc w:val="left"/>
      <w:pPr>
        <w:tabs>
          <w:tab w:val="num" w:pos="2552"/>
        </w:tabs>
        <w:ind w:left="2552" w:hanging="284"/>
      </w:pPr>
      <w:rPr>
        <w:rFonts w:ascii="Wingdings" w:hAnsi="Wingdings" w:hint="default"/>
      </w:rPr>
    </w:lvl>
    <w:lvl w:ilvl="6">
      <w:start w:val="1"/>
      <w:numFmt w:val="bullet"/>
      <w:lvlText w:val=""/>
      <w:lvlJc w:val="left"/>
      <w:pPr>
        <w:tabs>
          <w:tab w:val="num" w:pos="2835"/>
        </w:tabs>
        <w:ind w:left="2835" w:hanging="283"/>
      </w:pPr>
      <w:rPr>
        <w:rFonts w:ascii="Wingdings" w:hAnsi="Wingdings" w:hint="default"/>
      </w:rPr>
    </w:lvl>
    <w:lvl w:ilvl="7">
      <w:start w:val="1"/>
      <w:numFmt w:val="bullet"/>
      <w:lvlText w:val=""/>
      <w:lvlJc w:val="left"/>
      <w:pPr>
        <w:tabs>
          <w:tab w:val="num" w:pos="3119"/>
        </w:tabs>
        <w:ind w:left="3119" w:hanging="284"/>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
    <w:nsid w:val="15C43DC1"/>
    <w:multiLevelType w:val="multilevel"/>
    <w:tmpl w:val="1B54B7FC"/>
    <w:styleLink w:val="Auflistung"/>
    <w:lvl w:ilvl="0">
      <w:start w:val="1"/>
      <w:numFmt w:val="bullet"/>
      <w:pStyle w:val="Listennummer"/>
      <w:lvlText w:val=""/>
      <w:lvlJc w:val="left"/>
      <w:pPr>
        <w:tabs>
          <w:tab w:val="num" w:pos="680"/>
        </w:tabs>
        <w:ind w:left="680" w:hanging="396"/>
      </w:pPr>
      <w:rPr>
        <w:rFonts w:ascii="Wingdings" w:hAnsi="Wingdings" w:hint="default"/>
        <w:color w:val="77B800"/>
      </w:rPr>
    </w:lvl>
    <w:lvl w:ilvl="1">
      <w:start w:val="1"/>
      <w:numFmt w:val="bullet"/>
      <w:pStyle w:val="Listennummer2"/>
      <w:lvlText w:val=""/>
      <w:lvlJc w:val="left"/>
      <w:pPr>
        <w:tabs>
          <w:tab w:val="num" w:pos="1077"/>
        </w:tabs>
        <w:ind w:left="1077" w:hanging="397"/>
      </w:pPr>
      <w:rPr>
        <w:rFonts w:ascii="Wingdings" w:hAnsi="Wingdings" w:hint="default"/>
        <w:color w:val="77B800"/>
      </w:rPr>
    </w:lvl>
    <w:lvl w:ilvl="2">
      <w:start w:val="1"/>
      <w:numFmt w:val="bullet"/>
      <w:pStyle w:val="Listennummer3"/>
      <w:lvlText w:val=""/>
      <w:lvlJc w:val="left"/>
      <w:pPr>
        <w:tabs>
          <w:tab w:val="num" w:pos="1474"/>
        </w:tabs>
        <w:ind w:left="1474" w:hanging="397"/>
      </w:pPr>
      <w:rPr>
        <w:rFonts w:ascii="Wingdings" w:hAnsi="Wingdings" w:hint="default"/>
        <w:color w:val="77B800"/>
      </w:rPr>
    </w:lvl>
    <w:lvl w:ilvl="3">
      <w:start w:val="1"/>
      <w:numFmt w:val="bullet"/>
      <w:pStyle w:val="Listennummer4"/>
      <w:lvlText w:val=""/>
      <w:lvlJc w:val="left"/>
      <w:pPr>
        <w:tabs>
          <w:tab w:val="num" w:pos="1871"/>
        </w:tabs>
        <w:ind w:left="1871" w:hanging="397"/>
      </w:pPr>
      <w:rPr>
        <w:rFonts w:ascii="Wingdings" w:hAnsi="Wingdings" w:hint="default"/>
        <w:color w:val="77B800"/>
      </w:rPr>
    </w:lvl>
    <w:lvl w:ilvl="4">
      <w:start w:val="1"/>
      <w:numFmt w:val="bullet"/>
      <w:lvlText w:val=""/>
      <w:lvlJc w:val="left"/>
      <w:pPr>
        <w:tabs>
          <w:tab w:val="num" w:pos="2268"/>
        </w:tabs>
        <w:ind w:left="2268" w:hanging="397"/>
      </w:pPr>
      <w:rPr>
        <w:rFonts w:ascii="Symbol" w:hAnsi="Symbol" w:hint="default"/>
      </w:rPr>
    </w:lvl>
    <w:lvl w:ilvl="5">
      <w:start w:val="1"/>
      <w:numFmt w:val="bullet"/>
      <w:lvlText w:val=""/>
      <w:lvlJc w:val="left"/>
      <w:pPr>
        <w:tabs>
          <w:tab w:val="num" w:pos="2552"/>
        </w:tabs>
        <w:ind w:left="2552" w:hanging="284"/>
      </w:pPr>
      <w:rPr>
        <w:rFonts w:ascii="Wingdings" w:hAnsi="Wingdings" w:hint="default"/>
      </w:rPr>
    </w:lvl>
    <w:lvl w:ilvl="6">
      <w:start w:val="1"/>
      <w:numFmt w:val="bullet"/>
      <w:lvlText w:val=""/>
      <w:lvlJc w:val="left"/>
      <w:pPr>
        <w:tabs>
          <w:tab w:val="num" w:pos="2835"/>
        </w:tabs>
        <w:ind w:left="2835" w:hanging="283"/>
      </w:pPr>
      <w:rPr>
        <w:rFonts w:ascii="Wingdings" w:hAnsi="Wingdings" w:hint="default"/>
      </w:rPr>
    </w:lvl>
    <w:lvl w:ilvl="7">
      <w:start w:val="1"/>
      <w:numFmt w:val="bullet"/>
      <w:lvlText w:val=""/>
      <w:lvlJc w:val="left"/>
      <w:pPr>
        <w:tabs>
          <w:tab w:val="num" w:pos="3119"/>
        </w:tabs>
        <w:ind w:left="3119" w:hanging="284"/>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nsid w:val="27CA2042"/>
    <w:multiLevelType w:val="hybridMultilevel"/>
    <w:tmpl w:val="967CB022"/>
    <w:lvl w:ilvl="0" w:tplc="A8541A7E">
      <w:start w:val="1"/>
      <w:numFmt w:val="bullet"/>
      <w:lvlText w:val=""/>
      <w:lvlJc w:val="left"/>
      <w:pPr>
        <w:tabs>
          <w:tab w:val="num" w:pos="720"/>
        </w:tabs>
        <w:ind w:left="720" w:hanging="360"/>
      </w:pPr>
      <w:rPr>
        <w:rFonts w:ascii="Wingdings 2" w:hAnsi="Wingdings 2" w:hint="default"/>
      </w:rPr>
    </w:lvl>
    <w:lvl w:ilvl="1" w:tplc="C1AC90EA" w:tentative="1">
      <w:start w:val="1"/>
      <w:numFmt w:val="bullet"/>
      <w:lvlText w:val=""/>
      <w:lvlJc w:val="left"/>
      <w:pPr>
        <w:tabs>
          <w:tab w:val="num" w:pos="1440"/>
        </w:tabs>
        <w:ind w:left="1440" w:hanging="360"/>
      </w:pPr>
      <w:rPr>
        <w:rFonts w:ascii="Wingdings 2" w:hAnsi="Wingdings 2" w:hint="default"/>
      </w:rPr>
    </w:lvl>
    <w:lvl w:ilvl="2" w:tplc="E36E8C4A" w:tentative="1">
      <w:start w:val="1"/>
      <w:numFmt w:val="bullet"/>
      <w:lvlText w:val=""/>
      <w:lvlJc w:val="left"/>
      <w:pPr>
        <w:tabs>
          <w:tab w:val="num" w:pos="2160"/>
        </w:tabs>
        <w:ind w:left="2160" w:hanging="360"/>
      </w:pPr>
      <w:rPr>
        <w:rFonts w:ascii="Wingdings 2" w:hAnsi="Wingdings 2" w:hint="default"/>
      </w:rPr>
    </w:lvl>
    <w:lvl w:ilvl="3" w:tplc="76449224" w:tentative="1">
      <w:start w:val="1"/>
      <w:numFmt w:val="bullet"/>
      <w:lvlText w:val=""/>
      <w:lvlJc w:val="left"/>
      <w:pPr>
        <w:tabs>
          <w:tab w:val="num" w:pos="2880"/>
        </w:tabs>
        <w:ind w:left="2880" w:hanging="360"/>
      </w:pPr>
      <w:rPr>
        <w:rFonts w:ascii="Wingdings 2" w:hAnsi="Wingdings 2" w:hint="default"/>
      </w:rPr>
    </w:lvl>
    <w:lvl w:ilvl="4" w:tplc="E4A66B78" w:tentative="1">
      <w:start w:val="1"/>
      <w:numFmt w:val="bullet"/>
      <w:lvlText w:val=""/>
      <w:lvlJc w:val="left"/>
      <w:pPr>
        <w:tabs>
          <w:tab w:val="num" w:pos="3600"/>
        </w:tabs>
        <w:ind w:left="3600" w:hanging="360"/>
      </w:pPr>
      <w:rPr>
        <w:rFonts w:ascii="Wingdings 2" w:hAnsi="Wingdings 2" w:hint="default"/>
      </w:rPr>
    </w:lvl>
    <w:lvl w:ilvl="5" w:tplc="5B6210B6" w:tentative="1">
      <w:start w:val="1"/>
      <w:numFmt w:val="bullet"/>
      <w:lvlText w:val=""/>
      <w:lvlJc w:val="left"/>
      <w:pPr>
        <w:tabs>
          <w:tab w:val="num" w:pos="4320"/>
        </w:tabs>
        <w:ind w:left="4320" w:hanging="360"/>
      </w:pPr>
      <w:rPr>
        <w:rFonts w:ascii="Wingdings 2" w:hAnsi="Wingdings 2" w:hint="default"/>
      </w:rPr>
    </w:lvl>
    <w:lvl w:ilvl="6" w:tplc="70166AB0" w:tentative="1">
      <w:start w:val="1"/>
      <w:numFmt w:val="bullet"/>
      <w:lvlText w:val=""/>
      <w:lvlJc w:val="left"/>
      <w:pPr>
        <w:tabs>
          <w:tab w:val="num" w:pos="5040"/>
        </w:tabs>
        <w:ind w:left="5040" w:hanging="360"/>
      </w:pPr>
      <w:rPr>
        <w:rFonts w:ascii="Wingdings 2" w:hAnsi="Wingdings 2" w:hint="default"/>
      </w:rPr>
    </w:lvl>
    <w:lvl w:ilvl="7" w:tplc="6838B4D6" w:tentative="1">
      <w:start w:val="1"/>
      <w:numFmt w:val="bullet"/>
      <w:lvlText w:val=""/>
      <w:lvlJc w:val="left"/>
      <w:pPr>
        <w:tabs>
          <w:tab w:val="num" w:pos="5760"/>
        </w:tabs>
        <w:ind w:left="5760" w:hanging="360"/>
      </w:pPr>
      <w:rPr>
        <w:rFonts w:ascii="Wingdings 2" w:hAnsi="Wingdings 2" w:hint="default"/>
      </w:rPr>
    </w:lvl>
    <w:lvl w:ilvl="8" w:tplc="14E64084" w:tentative="1">
      <w:start w:val="1"/>
      <w:numFmt w:val="bullet"/>
      <w:lvlText w:val=""/>
      <w:lvlJc w:val="left"/>
      <w:pPr>
        <w:tabs>
          <w:tab w:val="num" w:pos="6480"/>
        </w:tabs>
        <w:ind w:left="6480" w:hanging="360"/>
      </w:pPr>
      <w:rPr>
        <w:rFonts w:ascii="Wingdings 2" w:hAnsi="Wingdings 2" w:hint="default"/>
      </w:rPr>
    </w:lvl>
  </w:abstractNum>
  <w:abstractNum w:abstractNumId="6">
    <w:nsid w:val="30846E50"/>
    <w:multiLevelType w:val="hybridMultilevel"/>
    <w:tmpl w:val="AF8E6AAA"/>
    <w:lvl w:ilvl="0" w:tplc="996092C8">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6965C7E"/>
    <w:multiLevelType w:val="hybridMultilevel"/>
    <w:tmpl w:val="C6B47D8A"/>
    <w:lvl w:ilvl="0" w:tplc="D0444D24">
      <w:start w:val="2500"/>
      <w:numFmt w:val="bullet"/>
      <w:lvlText w:val="-"/>
      <w:lvlJc w:val="left"/>
      <w:pPr>
        <w:ind w:left="720" w:hanging="360"/>
      </w:pPr>
      <w:rPr>
        <w:rFonts w:ascii="Verdana" w:eastAsia="Times New Roman" w:hAnsi="Verdan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6A81447"/>
    <w:multiLevelType w:val="hybridMultilevel"/>
    <w:tmpl w:val="1A64B00C"/>
    <w:lvl w:ilvl="0" w:tplc="4F967D84">
      <w:start w:val="1"/>
      <w:numFmt w:val="bullet"/>
      <w:lvlText w:val=""/>
      <w:lvlJc w:val="left"/>
      <w:pPr>
        <w:tabs>
          <w:tab w:val="num" w:pos="720"/>
        </w:tabs>
        <w:ind w:left="720" w:hanging="360"/>
      </w:pPr>
      <w:rPr>
        <w:rFonts w:ascii="Wingdings 2" w:hAnsi="Wingdings 2" w:hint="default"/>
      </w:rPr>
    </w:lvl>
    <w:lvl w:ilvl="1" w:tplc="9A1C92CC">
      <w:start w:val="1"/>
      <w:numFmt w:val="bullet"/>
      <w:lvlText w:val=""/>
      <w:lvlJc w:val="left"/>
      <w:pPr>
        <w:tabs>
          <w:tab w:val="num" w:pos="1440"/>
        </w:tabs>
        <w:ind w:left="1440" w:hanging="360"/>
      </w:pPr>
      <w:rPr>
        <w:rFonts w:ascii="Wingdings 2" w:hAnsi="Wingdings 2" w:hint="default"/>
      </w:rPr>
    </w:lvl>
    <w:lvl w:ilvl="2" w:tplc="2F2E6CBE" w:tentative="1">
      <w:start w:val="1"/>
      <w:numFmt w:val="bullet"/>
      <w:lvlText w:val=""/>
      <w:lvlJc w:val="left"/>
      <w:pPr>
        <w:tabs>
          <w:tab w:val="num" w:pos="2160"/>
        </w:tabs>
        <w:ind w:left="2160" w:hanging="360"/>
      </w:pPr>
      <w:rPr>
        <w:rFonts w:ascii="Wingdings 2" w:hAnsi="Wingdings 2" w:hint="default"/>
      </w:rPr>
    </w:lvl>
    <w:lvl w:ilvl="3" w:tplc="2C8EBCB4" w:tentative="1">
      <w:start w:val="1"/>
      <w:numFmt w:val="bullet"/>
      <w:lvlText w:val=""/>
      <w:lvlJc w:val="left"/>
      <w:pPr>
        <w:tabs>
          <w:tab w:val="num" w:pos="2880"/>
        </w:tabs>
        <w:ind w:left="2880" w:hanging="360"/>
      </w:pPr>
      <w:rPr>
        <w:rFonts w:ascii="Wingdings 2" w:hAnsi="Wingdings 2" w:hint="default"/>
      </w:rPr>
    </w:lvl>
    <w:lvl w:ilvl="4" w:tplc="F9A4B686" w:tentative="1">
      <w:start w:val="1"/>
      <w:numFmt w:val="bullet"/>
      <w:lvlText w:val=""/>
      <w:lvlJc w:val="left"/>
      <w:pPr>
        <w:tabs>
          <w:tab w:val="num" w:pos="3600"/>
        </w:tabs>
        <w:ind w:left="3600" w:hanging="360"/>
      </w:pPr>
      <w:rPr>
        <w:rFonts w:ascii="Wingdings 2" w:hAnsi="Wingdings 2" w:hint="default"/>
      </w:rPr>
    </w:lvl>
    <w:lvl w:ilvl="5" w:tplc="A3E2C906" w:tentative="1">
      <w:start w:val="1"/>
      <w:numFmt w:val="bullet"/>
      <w:lvlText w:val=""/>
      <w:lvlJc w:val="left"/>
      <w:pPr>
        <w:tabs>
          <w:tab w:val="num" w:pos="4320"/>
        </w:tabs>
        <w:ind w:left="4320" w:hanging="360"/>
      </w:pPr>
      <w:rPr>
        <w:rFonts w:ascii="Wingdings 2" w:hAnsi="Wingdings 2" w:hint="default"/>
      </w:rPr>
    </w:lvl>
    <w:lvl w:ilvl="6" w:tplc="64A0C300" w:tentative="1">
      <w:start w:val="1"/>
      <w:numFmt w:val="bullet"/>
      <w:lvlText w:val=""/>
      <w:lvlJc w:val="left"/>
      <w:pPr>
        <w:tabs>
          <w:tab w:val="num" w:pos="5040"/>
        </w:tabs>
        <w:ind w:left="5040" w:hanging="360"/>
      </w:pPr>
      <w:rPr>
        <w:rFonts w:ascii="Wingdings 2" w:hAnsi="Wingdings 2" w:hint="default"/>
      </w:rPr>
    </w:lvl>
    <w:lvl w:ilvl="7" w:tplc="631A59F4" w:tentative="1">
      <w:start w:val="1"/>
      <w:numFmt w:val="bullet"/>
      <w:lvlText w:val=""/>
      <w:lvlJc w:val="left"/>
      <w:pPr>
        <w:tabs>
          <w:tab w:val="num" w:pos="5760"/>
        </w:tabs>
        <w:ind w:left="5760" w:hanging="360"/>
      </w:pPr>
      <w:rPr>
        <w:rFonts w:ascii="Wingdings 2" w:hAnsi="Wingdings 2" w:hint="default"/>
      </w:rPr>
    </w:lvl>
    <w:lvl w:ilvl="8" w:tplc="6876DFF6" w:tentative="1">
      <w:start w:val="1"/>
      <w:numFmt w:val="bullet"/>
      <w:lvlText w:val=""/>
      <w:lvlJc w:val="left"/>
      <w:pPr>
        <w:tabs>
          <w:tab w:val="num" w:pos="6480"/>
        </w:tabs>
        <w:ind w:left="6480" w:hanging="360"/>
      </w:pPr>
      <w:rPr>
        <w:rFonts w:ascii="Wingdings 2" w:hAnsi="Wingdings 2" w:hint="default"/>
      </w:rPr>
    </w:lvl>
  </w:abstractNum>
  <w:abstractNum w:abstractNumId="9">
    <w:nsid w:val="39436DA0"/>
    <w:multiLevelType w:val="hybridMultilevel"/>
    <w:tmpl w:val="30545A6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1436690"/>
    <w:multiLevelType w:val="hybridMultilevel"/>
    <w:tmpl w:val="EF58ADE4"/>
    <w:lvl w:ilvl="0" w:tplc="811A54EA">
      <w:start w:val="1"/>
      <w:numFmt w:val="bullet"/>
      <w:lvlText w:val=""/>
      <w:lvlJc w:val="left"/>
      <w:pPr>
        <w:tabs>
          <w:tab w:val="num" w:pos="720"/>
        </w:tabs>
        <w:ind w:left="720" w:hanging="360"/>
      </w:pPr>
      <w:rPr>
        <w:rFonts w:ascii="Wingdings 2" w:hAnsi="Wingdings 2" w:hint="default"/>
      </w:rPr>
    </w:lvl>
    <w:lvl w:ilvl="1" w:tplc="2886E1A4" w:tentative="1">
      <w:start w:val="1"/>
      <w:numFmt w:val="bullet"/>
      <w:lvlText w:val=""/>
      <w:lvlJc w:val="left"/>
      <w:pPr>
        <w:tabs>
          <w:tab w:val="num" w:pos="1440"/>
        </w:tabs>
        <w:ind w:left="1440" w:hanging="360"/>
      </w:pPr>
      <w:rPr>
        <w:rFonts w:ascii="Wingdings 2" w:hAnsi="Wingdings 2" w:hint="default"/>
      </w:rPr>
    </w:lvl>
    <w:lvl w:ilvl="2" w:tplc="10F60C70" w:tentative="1">
      <w:start w:val="1"/>
      <w:numFmt w:val="bullet"/>
      <w:lvlText w:val=""/>
      <w:lvlJc w:val="left"/>
      <w:pPr>
        <w:tabs>
          <w:tab w:val="num" w:pos="2160"/>
        </w:tabs>
        <w:ind w:left="2160" w:hanging="360"/>
      </w:pPr>
      <w:rPr>
        <w:rFonts w:ascii="Wingdings 2" w:hAnsi="Wingdings 2" w:hint="default"/>
      </w:rPr>
    </w:lvl>
    <w:lvl w:ilvl="3" w:tplc="86DADC2C" w:tentative="1">
      <w:start w:val="1"/>
      <w:numFmt w:val="bullet"/>
      <w:lvlText w:val=""/>
      <w:lvlJc w:val="left"/>
      <w:pPr>
        <w:tabs>
          <w:tab w:val="num" w:pos="2880"/>
        </w:tabs>
        <w:ind w:left="2880" w:hanging="360"/>
      </w:pPr>
      <w:rPr>
        <w:rFonts w:ascii="Wingdings 2" w:hAnsi="Wingdings 2" w:hint="default"/>
      </w:rPr>
    </w:lvl>
    <w:lvl w:ilvl="4" w:tplc="25187294" w:tentative="1">
      <w:start w:val="1"/>
      <w:numFmt w:val="bullet"/>
      <w:lvlText w:val=""/>
      <w:lvlJc w:val="left"/>
      <w:pPr>
        <w:tabs>
          <w:tab w:val="num" w:pos="3600"/>
        </w:tabs>
        <w:ind w:left="3600" w:hanging="360"/>
      </w:pPr>
      <w:rPr>
        <w:rFonts w:ascii="Wingdings 2" w:hAnsi="Wingdings 2" w:hint="default"/>
      </w:rPr>
    </w:lvl>
    <w:lvl w:ilvl="5" w:tplc="385C782C" w:tentative="1">
      <w:start w:val="1"/>
      <w:numFmt w:val="bullet"/>
      <w:lvlText w:val=""/>
      <w:lvlJc w:val="left"/>
      <w:pPr>
        <w:tabs>
          <w:tab w:val="num" w:pos="4320"/>
        </w:tabs>
        <w:ind w:left="4320" w:hanging="360"/>
      </w:pPr>
      <w:rPr>
        <w:rFonts w:ascii="Wingdings 2" w:hAnsi="Wingdings 2" w:hint="default"/>
      </w:rPr>
    </w:lvl>
    <w:lvl w:ilvl="6" w:tplc="D62E1E60" w:tentative="1">
      <w:start w:val="1"/>
      <w:numFmt w:val="bullet"/>
      <w:lvlText w:val=""/>
      <w:lvlJc w:val="left"/>
      <w:pPr>
        <w:tabs>
          <w:tab w:val="num" w:pos="5040"/>
        </w:tabs>
        <w:ind w:left="5040" w:hanging="360"/>
      </w:pPr>
      <w:rPr>
        <w:rFonts w:ascii="Wingdings 2" w:hAnsi="Wingdings 2" w:hint="default"/>
      </w:rPr>
    </w:lvl>
    <w:lvl w:ilvl="7" w:tplc="BF943214" w:tentative="1">
      <w:start w:val="1"/>
      <w:numFmt w:val="bullet"/>
      <w:lvlText w:val=""/>
      <w:lvlJc w:val="left"/>
      <w:pPr>
        <w:tabs>
          <w:tab w:val="num" w:pos="5760"/>
        </w:tabs>
        <w:ind w:left="5760" w:hanging="360"/>
      </w:pPr>
      <w:rPr>
        <w:rFonts w:ascii="Wingdings 2" w:hAnsi="Wingdings 2" w:hint="default"/>
      </w:rPr>
    </w:lvl>
    <w:lvl w:ilvl="8" w:tplc="A7EC7A0E" w:tentative="1">
      <w:start w:val="1"/>
      <w:numFmt w:val="bullet"/>
      <w:lvlText w:val=""/>
      <w:lvlJc w:val="left"/>
      <w:pPr>
        <w:tabs>
          <w:tab w:val="num" w:pos="6480"/>
        </w:tabs>
        <w:ind w:left="6480" w:hanging="360"/>
      </w:pPr>
      <w:rPr>
        <w:rFonts w:ascii="Wingdings 2" w:hAnsi="Wingdings 2" w:hint="default"/>
      </w:rPr>
    </w:lvl>
  </w:abstractNum>
  <w:abstractNum w:abstractNumId="11">
    <w:nsid w:val="651117D9"/>
    <w:multiLevelType w:val="hybridMultilevel"/>
    <w:tmpl w:val="1E8416B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6567703C"/>
    <w:multiLevelType w:val="hybridMultilevel"/>
    <w:tmpl w:val="F1A60032"/>
    <w:lvl w:ilvl="0" w:tplc="FF226706">
      <w:start w:val="1"/>
      <w:numFmt w:val="bullet"/>
      <w:lvlText w:val=""/>
      <w:lvlJc w:val="left"/>
      <w:pPr>
        <w:tabs>
          <w:tab w:val="num" w:pos="720"/>
        </w:tabs>
        <w:ind w:left="720" w:hanging="360"/>
      </w:pPr>
      <w:rPr>
        <w:rFonts w:ascii="Wingdings 2" w:hAnsi="Wingdings 2" w:hint="default"/>
      </w:rPr>
    </w:lvl>
    <w:lvl w:ilvl="1" w:tplc="AE0238AA" w:tentative="1">
      <w:start w:val="1"/>
      <w:numFmt w:val="bullet"/>
      <w:lvlText w:val=""/>
      <w:lvlJc w:val="left"/>
      <w:pPr>
        <w:tabs>
          <w:tab w:val="num" w:pos="1440"/>
        </w:tabs>
        <w:ind w:left="1440" w:hanging="360"/>
      </w:pPr>
      <w:rPr>
        <w:rFonts w:ascii="Wingdings 2" w:hAnsi="Wingdings 2" w:hint="default"/>
      </w:rPr>
    </w:lvl>
    <w:lvl w:ilvl="2" w:tplc="3FBC5A12" w:tentative="1">
      <w:start w:val="1"/>
      <w:numFmt w:val="bullet"/>
      <w:lvlText w:val=""/>
      <w:lvlJc w:val="left"/>
      <w:pPr>
        <w:tabs>
          <w:tab w:val="num" w:pos="2160"/>
        </w:tabs>
        <w:ind w:left="2160" w:hanging="360"/>
      </w:pPr>
      <w:rPr>
        <w:rFonts w:ascii="Wingdings 2" w:hAnsi="Wingdings 2" w:hint="default"/>
      </w:rPr>
    </w:lvl>
    <w:lvl w:ilvl="3" w:tplc="009E06CE" w:tentative="1">
      <w:start w:val="1"/>
      <w:numFmt w:val="bullet"/>
      <w:lvlText w:val=""/>
      <w:lvlJc w:val="left"/>
      <w:pPr>
        <w:tabs>
          <w:tab w:val="num" w:pos="2880"/>
        </w:tabs>
        <w:ind w:left="2880" w:hanging="360"/>
      </w:pPr>
      <w:rPr>
        <w:rFonts w:ascii="Wingdings 2" w:hAnsi="Wingdings 2" w:hint="default"/>
      </w:rPr>
    </w:lvl>
    <w:lvl w:ilvl="4" w:tplc="74F07E90" w:tentative="1">
      <w:start w:val="1"/>
      <w:numFmt w:val="bullet"/>
      <w:lvlText w:val=""/>
      <w:lvlJc w:val="left"/>
      <w:pPr>
        <w:tabs>
          <w:tab w:val="num" w:pos="3600"/>
        </w:tabs>
        <w:ind w:left="3600" w:hanging="360"/>
      </w:pPr>
      <w:rPr>
        <w:rFonts w:ascii="Wingdings 2" w:hAnsi="Wingdings 2" w:hint="default"/>
      </w:rPr>
    </w:lvl>
    <w:lvl w:ilvl="5" w:tplc="F2A41AF8" w:tentative="1">
      <w:start w:val="1"/>
      <w:numFmt w:val="bullet"/>
      <w:lvlText w:val=""/>
      <w:lvlJc w:val="left"/>
      <w:pPr>
        <w:tabs>
          <w:tab w:val="num" w:pos="4320"/>
        </w:tabs>
        <w:ind w:left="4320" w:hanging="360"/>
      </w:pPr>
      <w:rPr>
        <w:rFonts w:ascii="Wingdings 2" w:hAnsi="Wingdings 2" w:hint="default"/>
      </w:rPr>
    </w:lvl>
    <w:lvl w:ilvl="6" w:tplc="E376E92A" w:tentative="1">
      <w:start w:val="1"/>
      <w:numFmt w:val="bullet"/>
      <w:lvlText w:val=""/>
      <w:lvlJc w:val="left"/>
      <w:pPr>
        <w:tabs>
          <w:tab w:val="num" w:pos="5040"/>
        </w:tabs>
        <w:ind w:left="5040" w:hanging="360"/>
      </w:pPr>
      <w:rPr>
        <w:rFonts w:ascii="Wingdings 2" w:hAnsi="Wingdings 2" w:hint="default"/>
      </w:rPr>
    </w:lvl>
    <w:lvl w:ilvl="7" w:tplc="986CFDE2" w:tentative="1">
      <w:start w:val="1"/>
      <w:numFmt w:val="bullet"/>
      <w:lvlText w:val=""/>
      <w:lvlJc w:val="left"/>
      <w:pPr>
        <w:tabs>
          <w:tab w:val="num" w:pos="5760"/>
        </w:tabs>
        <w:ind w:left="5760" w:hanging="360"/>
      </w:pPr>
      <w:rPr>
        <w:rFonts w:ascii="Wingdings 2" w:hAnsi="Wingdings 2" w:hint="default"/>
      </w:rPr>
    </w:lvl>
    <w:lvl w:ilvl="8" w:tplc="562AE698" w:tentative="1">
      <w:start w:val="1"/>
      <w:numFmt w:val="bullet"/>
      <w:lvlText w:val=""/>
      <w:lvlJc w:val="left"/>
      <w:pPr>
        <w:tabs>
          <w:tab w:val="num" w:pos="6480"/>
        </w:tabs>
        <w:ind w:left="6480" w:hanging="360"/>
      </w:pPr>
      <w:rPr>
        <w:rFonts w:ascii="Wingdings 2" w:hAnsi="Wingdings 2" w:hint="default"/>
      </w:rPr>
    </w:lvl>
  </w:abstractNum>
  <w:abstractNum w:abstractNumId="13">
    <w:nsid w:val="6D0A6965"/>
    <w:multiLevelType w:val="hybridMultilevel"/>
    <w:tmpl w:val="34E2487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D996103"/>
    <w:multiLevelType w:val="hybridMultilevel"/>
    <w:tmpl w:val="798EAF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AF0191C"/>
    <w:multiLevelType w:val="multilevel"/>
    <w:tmpl w:val="1B54B7FC"/>
    <w:numStyleLink w:val="Auflistung"/>
  </w:abstractNum>
  <w:num w:numId="1">
    <w:abstractNumId w:val="5"/>
  </w:num>
  <w:num w:numId="2">
    <w:abstractNumId w:val="1"/>
  </w:num>
  <w:num w:numId="3">
    <w:abstractNumId w:val="8"/>
  </w:num>
  <w:num w:numId="4">
    <w:abstractNumId w:val="10"/>
  </w:num>
  <w:num w:numId="5">
    <w:abstractNumId w:val="12"/>
  </w:num>
  <w:num w:numId="6">
    <w:abstractNumId w:val="2"/>
  </w:num>
  <w:num w:numId="7">
    <w:abstractNumId w:val="14"/>
  </w:num>
  <w:num w:numId="8">
    <w:abstractNumId w:val="13"/>
  </w:num>
  <w:num w:numId="9">
    <w:abstractNumId w:val="11"/>
  </w:num>
  <w:num w:numId="10">
    <w:abstractNumId w:val="7"/>
  </w:num>
  <w:num w:numId="11">
    <w:abstractNumId w:val="0"/>
  </w:num>
  <w:num w:numId="12">
    <w:abstractNumId w:val="4"/>
  </w:num>
  <w:num w:numId="13">
    <w:abstractNumId w:val="15"/>
  </w:num>
  <w:num w:numId="14">
    <w:abstractNumId w:val="3"/>
  </w:num>
  <w:num w:numId="15">
    <w:abstractNumId w:val="9"/>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footnotePr>
    <w:footnote w:id="-1"/>
    <w:footnote w:id="0"/>
  </w:footnotePr>
  <w:endnotePr>
    <w:endnote w:id="-1"/>
    <w:endnote w:id="0"/>
  </w:endnotePr>
  <w:compat/>
  <w:rsids>
    <w:rsidRoot w:val="0060259D"/>
    <w:rsid w:val="00012E8A"/>
    <w:rsid w:val="0001651C"/>
    <w:rsid w:val="0003506F"/>
    <w:rsid w:val="000462A7"/>
    <w:rsid w:val="00052A65"/>
    <w:rsid w:val="00052B96"/>
    <w:rsid w:val="00114CD2"/>
    <w:rsid w:val="00120A98"/>
    <w:rsid w:val="00120F09"/>
    <w:rsid w:val="0012538B"/>
    <w:rsid w:val="001275B9"/>
    <w:rsid w:val="00140641"/>
    <w:rsid w:val="001679F8"/>
    <w:rsid w:val="001A6748"/>
    <w:rsid w:val="001E3B5C"/>
    <w:rsid w:val="001E4DAF"/>
    <w:rsid w:val="001F0DA8"/>
    <w:rsid w:val="002068CE"/>
    <w:rsid w:val="00217B9F"/>
    <w:rsid w:val="00220843"/>
    <w:rsid w:val="00241590"/>
    <w:rsid w:val="0027443F"/>
    <w:rsid w:val="0029249E"/>
    <w:rsid w:val="002A1708"/>
    <w:rsid w:val="002A1E33"/>
    <w:rsid w:val="002A7F7C"/>
    <w:rsid w:val="002B4411"/>
    <w:rsid w:val="002B48C9"/>
    <w:rsid w:val="002F6373"/>
    <w:rsid w:val="00336B4E"/>
    <w:rsid w:val="00343A87"/>
    <w:rsid w:val="00367E96"/>
    <w:rsid w:val="00372CDE"/>
    <w:rsid w:val="00427D43"/>
    <w:rsid w:val="004362CF"/>
    <w:rsid w:val="004609EC"/>
    <w:rsid w:val="0047593E"/>
    <w:rsid w:val="00484E18"/>
    <w:rsid w:val="004A1962"/>
    <w:rsid w:val="004D7B12"/>
    <w:rsid w:val="004E0EC9"/>
    <w:rsid w:val="004E18C5"/>
    <w:rsid w:val="004E7BC2"/>
    <w:rsid w:val="005024AB"/>
    <w:rsid w:val="0051147C"/>
    <w:rsid w:val="005120F3"/>
    <w:rsid w:val="00542DEF"/>
    <w:rsid w:val="005675F9"/>
    <w:rsid w:val="005706B7"/>
    <w:rsid w:val="00571952"/>
    <w:rsid w:val="005974A9"/>
    <w:rsid w:val="005B42BD"/>
    <w:rsid w:val="005E104C"/>
    <w:rsid w:val="005E105D"/>
    <w:rsid w:val="005F09C4"/>
    <w:rsid w:val="0060259D"/>
    <w:rsid w:val="00622DEE"/>
    <w:rsid w:val="00665C2E"/>
    <w:rsid w:val="00665C38"/>
    <w:rsid w:val="006A738A"/>
    <w:rsid w:val="006C6F66"/>
    <w:rsid w:val="006E6EF7"/>
    <w:rsid w:val="006F76A0"/>
    <w:rsid w:val="00705817"/>
    <w:rsid w:val="00720595"/>
    <w:rsid w:val="007667AE"/>
    <w:rsid w:val="007700C3"/>
    <w:rsid w:val="00770C5E"/>
    <w:rsid w:val="00784327"/>
    <w:rsid w:val="007A06CF"/>
    <w:rsid w:val="007C5CBC"/>
    <w:rsid w:val="007E711C"/>
    <w:rsid w:val="00806943"/>
    <w:rsid w:val="008504C9"/>
    <w:rsid w:val="00891100"/>
    <w:rsid w:val="008A1751"/>
    <w:rsid w:val="008A2042"/>
    <w:rsid w:val="008B1004"/>
    <w:rsid w:val="008C363D"/>
    <w:rsid w:val="008E2D4C"/>
    <w:rsid w:val="008E3FD9"/>
    <w:rsid w:val="008E5C15"/>
    <w:rsid w:val="009164E2"/>
    <w:rsid w:val="009433B3"/>
    <w:rsid w:val="00960253"/>
    <w:rsid w:val="009663A6"/>
    <w:rsid w:val="00974FF3"/>
    <w:rsid w:val="00986286"/>
    <w:rsid w:val="009A0EF9"/>
    <w:rsid w:val="009A4F0A"/>
    <w:rsid w:val="009A7CE1"/>
    <w:rsid w:val="009B068F"/>
    <w:rsid w:val="009C0099"/>
    <w:rsid w:val="009C7987"/>
    <w:rsid w:val="009D5C7F"/>
    <w:rsid w:val="009E40A1"/>
    <w:rsid w:val="009F45C8"/>
    <w:rsid w:val="009F79DE"/>
    <w:rsid w:val="00A03BDA"/>
    <w:rsid w:val="00A333A2"/>
    <w:rsid w:val="00A443CB"/>
    <w:rsid w:val="00A526EC"/>
    <w:rsid w:val="00A671F5"/>
    <w:rsid w:val="00A74804"/>
    <w:rsid w:val="00A96145"/>
    <w:rsid w:val="00AE0948"/>
    <w:rsid w:val="00AE1CC3"/>
    <w:rsid w:val="00AE2D30"/>
    <w:rsid w:val="00B0731C"/>
    <w:rsid w:val="00B1282E"/>
    <w:rsid w:val="00B14992"/>
    <w:rsid w:val="00B158A0"/>
    <w:rsid w:val="00B9581A"/>
    <w:rsid w:val="00BD45A4"/>
    <w:rsid w:val="00BD45B6"/>
    <w:rsid w:val="00BD6581"/>
    <w:rsid w:val="00BD6F9A"/>
    <w:rsid w:val="00C66EFD"/>
    <w:rsid w:val="00C671F4"/>
    <w:rsid w:val="00CA023D"/>
    <w:rsid w:val="00CE49C0"/>
    <w:rsid w:val="00CF605C"/>
    <w:rsid w:val="00D30D70"/>
    <w:rsid w:val="00D3735D"/>
    <w:rsid w:val="00D67F31"/>
    <w:rsid w:val="00D70094"/>
    <w:rsid w:val="00D7668E"/>
    <w:rsid w:val="00D84CA8"/>
    <w:rsid w:val="00DA1C68"/>
    <w:rsid w:val="00DA79FE"/>
    <w:rsid w:val="00DC3EDD"/>
    <w:rsid w:val="00DD3128"/>
    <w:rsid w:val="00E21203"/>
    <w:rsid w:val="00E306A5"/>
    <w:rsid w:val="00E361FA"/>
    <w:rsid w:val="00E657DE"/>
    <w:rsid w:val="00E95F32"/>
    <w:rsid w:val="00EC426A"/>
    <w:rsid w:val="00EE15CF"/>
    <w:rsid w:val="00F1465E"/>
    <w:rsid w:val="00F15728"/>
    <w:rsid w:val="00F21938"/>
    <w:rsid w:val="00F24990"/>
    <w:rsid w:val="00F766FE"/>
    <w:rsid w:val="00F949F3"/>
    <w:rsid w:val="00F959DF"/>
    <w:rsid w:val="00FA075F"/>
    <w:rsid w:val="00FA4CCE"/>
    <w:rsid w:val="00FB6C2F"/>
    <w:rsid w:val="00FC7E62"/>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Number"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A0EF9"/>
    <w:rPr>
      <w:rFonts w:ascii="Times New Roman" w:hAnsi="Times New Roman"/>
      <w:sz w:val="24"/>
    </w:rPr>
  </w:style>
  <w:style w:type="paragraph" w:styleId="berschrift1">
    <w:name w:val="heading 1"/>
    <w:basedOn w:val="Standard"/>
    <w:next w:val="Standard"/>
    <w:link w:val="berschrift1Zchn"/>
    <w:uiPriority w:val="9"/>
    <w:qFormat/>
    <w:rsid w:val="009A0E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F2499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9C7987"/>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9C798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03506F"/>
    <w:pPr>
      <w:spacing w:after="0" w:line="240" w:lineRule="auto"/>
    </w:pPr>
  </w:style>
  <w:style w:type="paragraph" w:styleId="Kopfzeile">
    <w:name w:val="header"/>
    <w:basedOn w:val="Standard"/>
    <w:link w:val="KopfzeileZchn"/>
    <w:uiPriority w:val="99"/>
    <w:unhideWhenUsed/>
    <w:rsid w:val="0070581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05817"/>
  </w:style>
  <w:style w:type="paragraph" w:styleId="Fuzeile">
    <w:name w:val="footer"/>
    <w:basedOn w:val="Standard"/>
    <w:link w:val="FuzeileZchn"/>
    <w:uiPriority w:val="99"/>
    <w:unhideWhenUsed/>
    <w:rsid w:val="0070581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05817"/>
  </w:style>
  <w:style w:type="paragraph" w:styleId="Sprechblasentext">
    <w:name w:val="Balloon Text"/>
    <w:basedOn w:val="Standard"/>
    <w:link w:val="SprechblasentextZchn"/>
    <w:uiPriority w:val="99"/>
    <w:semiHidden/>
    <w:unhideWhenUsed/>
    <w:rsid w:val="0070581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05817"/>
    <w:rPr>
      <w:rFonts w:ascii="Tahoma" w:hAnsi="Tahoma" w:cs="Tahoma"/>
      <w:sz w:val="16"/>
      <w:szCs w:val="16"/>
    </w:rPr>
  </w:style>
  <w:style w:type="character" w:customStyle="1" w:styleId="berschrift2Zchn">
    <w:name w:val="Überschrift 2 Zchn"/>
    <w:basedOn w:val="Absatz-Standardschriftart"/>
    <w:link w:val="berschrift2"/>
    <w:uiPriority w:val="9"/>
    <w:rsid w:val="00F24990"/>
    <w:rPr>
      <w:rFonts w:asciiTheme="majorHAnsi" w:eastAsiaTheme="majorEastAsia" w:hAnsiTheme="majorHAnsi" w:cstheme="majorBidi"/>
      <w:b/>
      <w:bCs/>
      <w:color w:val="4F81BD" w:themeColor="accent1"/>
      <w:sz w:val="26"/>
      <w:szCs w:val="26"/>
    </w:rPr>
  </w:style>
  <w:style w:type="character" w:customStyle="1" w:styleId="berschrift1Zchn">
    <w:name w:val="Überschrift 1 Zchn"/>
    <w:basedOn w:val="Absatz-Standardschriftart"/>
    <w:link w:val="berschrift1"/>
    <w:uiPriority w:val="9"/>
    <w:rsid w:val="009A0EF9"/>
    <w:rPr>
      <w:rFonts w:asciiTheme="majorHAnsi" w:eastAsiaTheme="majorEastAsia" w:hAnsiTheme="majorHAnsi" w:cstheme="majorBidi"/>
      <w:b/>
      <w:bCs/>
      <w:color w:val="365F91" w:themeColor="accent1" w:themeShade="BF"/>
      <w:sz w:val="28"/>
      <w:szCs w:val="28"/>
    </w:rPr>
  </w:style>
  <w:style w:type="paragraph" w:styleId="Listenabsatz">
    <w:name w:val="List Paragraph"/>
    <w:basedOn w:val="Standard"/>
    <w:uiPriority w:val="34"/>
    <w:qFormat/>
    <w:rsid w:val="00974FF3"/>
    <w:pPr>
      <w:ind w:left="720"/>
      <w:contextualSpacing/>
    </w:pPr>
  </w:style>
  <w:style w:type="paragraph" w:styleId="StandardWeb">
    <w:name w:val="Normal (Web)"/>
    <w:basedOn w:val="Standard"/>
    <w:uiPriority w:val="99"/>
    <w:semiHidden/>
    <w:unhideWhenUsed/>
    <w:rsid w:val="001E4DAF"/>
    <w:pPr>
      <w:spacing w:before="100" w:beforeAutospacing="1" w:after="100" w:afterAutospacing="1" w:line="240" w:lineRule="auto"/>
    </w:pPr>
    <w:rPr>
      <w:rFonts w:eastAsiaTheme="minorEastAsia" w:cs="Times New Roman"/>
      <w:szCs w:val="24"/>
      <w:lang w:eastAsia="de-DE"/>
    </w:rPr>
  </w:style>
  <w:style w:type="character" w:styleId="Kommentarzeichen">
    <w:name w:val="annotation reference"/>
    <w:basedOn w:val="Absatz-Standardschriftart"/>
    <w:uiPriority w:val="99"/>
    <w:semiHidden/>
    <w:unhideWhenUsed/>
    <w:rsid w:val="00F15728"/>
    <w:rPr>
      <w:sz w:val="16"/>
      <w:szCs w:val="16"/>
    </w:rPr>
  </w:style>
  <w:style w:type="paragraph" w:styleId="Kommentartext">
    <w:name w:val="annotation text"/>
    <w:basedOn w:val="Standard"/>
    <w:link w:val="KommentartextZchn"/>
    <w:uiPriority w:val="99"/>
    <w:semiHidden/>
    <w:unhideWhenUsed/>
    <w:rsid w:val="00F1572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15728"/>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F15728"/>
    <w:rPr>
      <w:b/>
      <w:bCs/>
    </w:rPr>
  </w:style>
  <w:style w:type="character" w:customStyle="1" w:styleId="KommentarthemaZchn">
    <w:name w:val="Kommentarthema Zchn"/>
    <w:basedOn w:val="KommentartextZchn"/>
    <w:link w:val="Kommentarthema"/>
    <w:uiPriority w:val="99"/>
    <w:semiHidden/>
    <w:rsid w:val="00F15728"/>
    <w:rPr>
      <w:rFonts w:ascii="Times New Roman" w:hAnsi="Times New Roman"/>
      <w:b/>
      <w:bCs/>
      <w:sz w:val="20"/>
      <w:szCs w:val="20"/>
    </w:rPr>
  </w:style>
  <w:style w:type="paragraph" w:styleId="Literaturverzeichnis">
    <w:name w:val="Bibliography"/>
    <w:basedOn w:val="Standard"/>
    <w:next w:val="Standard"/>
    <w:uiPriority w:val="37"/>
    <w:unhideWhenUsed/>
    <w:rsid w:val="00367E96"/>
    <w:pPr>
      <w:spacing w:after="240" w:line="240" w:lineRule="auto"/>
      <w:ind w:left="720" w:hanging="720"/>
    </w:pPr>
  </w:style>
  <w:style w:type="paragraph" w:styleId="Beschriftung">
    <w:name w:val="caption"/>
    <w:basedOn w:val="Standard"/>
    <w:next w:val="Standard"/>
    <w:link w:val="BeschriftungZchn"/>
    <w:unhideWhenUsed/>
    <w:qFormat/>
    <w:rsid w:val="00A443CB"/>
    <w:pPr>
      <w:spacing w:line="240" w:lineRule="auto"/>
    </w:pPr>
    <w:rPr>
      <w:b/>
      <w:bCs/>
      <w:color w:val="4F81BD" w:themeColor="accent1"/>
      <w:sz w:val="18"/>
      <w:szCs w:val="18"/>
    </w:rPr>
  </w:style>
  <w:style w:type="character" w:customStyle="1" w:styleId="berschrift3Zchn">
    <w:name w:val="Überschrift 3 Zchn"/>
    <w:basedOn w:val="Absatz-Standardschriftart"/>
    <w:link w:val="berschrift3"/>
    <w:uiPriority w:val="9"/>
    <w:semiHidden/>
    <w:rsid w:val="009C7987"/>
    <w:rPr>
      <w:rFonts w:asciiTheme="majorHAnsi" w:eastAsiaTheme="majorEastAsia" w:hAnsiTheme="majorHAnsi" w:cstheme="majorBidi"/>
      <w:b/>
      <w:bCs/>
      <w:color w:val="4F81BD" w:themeColor="accent1"/>
      <w:sz w:val="24"/>
    </w:rPr>
  </w:style>
  <w:style w:type="character" w:customStyle="1" w:styleId="berschrift4Zchn">
    <w:name w:val="Überschrift 4 Zchn"/>
    <w:basedOn w:val="Absatz-Standardschriftart"/>
    <w:link w:val="berschrift4"/>
    <w:uiPriority w:val="9"/>
    <w:semiHidden/>
    <w:rsid w:val="009C7987"/>
    <w:rPr>
      <w:rFonts w:asciiTheme="majorHAnsi" w:eastAsiaTheme="majorEastAsia" w:hAnsiTheme="majorHAnsi" w:cstheme="majorBidi"/>
      <w:b/>
      <w:bCs/>
      <w:i/>
      <w:iCs/>
      <w:color w:val="4F81BD" w:themeColor="accent1"/>
      <w:sz w:val="24"/>
    </w:rPr>
  </w:style>
  <w:style w:type="paragraph" w:styleId="Textkrper">
    <w:name w:val="Body Text"/>
    <w:basedOn w:val="Standard"/>
    <w:link w:val="TextkrperZchn"/>
    <w:rsid w:val="00AE0948"/>
    <w:pPr>
      <w:spacing w:after="100" w:afterAutospacing="1" w:line="288" w:lineRule="auto"/>
      <w:jc w:val="both"/>
    </w:pPr>
    <w:rPr>
      <w:rFonts w:eastAsia="Times New Roman" w:cs="Times New Roman"/>
      <w:sz w:val="22"/>
      <w:szCs w:val="24"/>
      <w:lang w:eastAsia="de-DE"/>
    </w:rPr>
  </w:style>
  <w:style w:type="character" w:customStyle="1" w:styleId="TextkrperZchn">
    <w:name w:val="Textkörper Zchn"/>
    <w:basedOn w:val="Absatz-Standardschriftart"/>
    <w:link w:val="Textkrper"/>
    <w:rsid w:val="00AE0948"/>
    <w:rPr>
      <w:rFonts w:ascii="Times New Roman" w:eastAsia="Times New Roman" w:hAnsi="Times New Roman" w:cs="Times New Roman"/>
      <w:szCs w:val="24"/>
      <w:lang w:eastAsia="de-DE"/>
    </w:rPr>
  </w:style>
  <w:style w:type="numbering" w:customStyle="1" w:styleId="Auflistung">
    <w:name w:val="Auflistung"/>
    <w:basedOn w:val="KeineListe"/>
    <w:semiHidden/>
    <w:rsid w:val="00AE0948"/>
    <w:pPr>
      <w:numPr>
        <w:numId w:val="12"/>
      </w:numPr>
    </w:pPr>
  </w:style>
  <w:style w:type="paragraph" w:styleId="Listennummer">
    <w:name w:val="List Number"/>
    <w:basedOn w:val="Standard"/>
    <w:rsid w:val="00AE0948"/>
    <w:pPr>
      <w:numPr>
        <w:numId w:val="13"/>
      </w:numPr>
      <w:spacing w:after="0" w:line="288" w:lineRule="auto"/>
    </w:pPr>
    <w:rPr>
      <w:rFonts w:eastAsia="Times New Roman" w:cs="Times New Roman"/>
      <w:sz w:val="22"/>
      <w:szCs w:val="24"/>
      <w:lang w:eastAsia="de-DE"/>
    </w:rPr>
  </w:style>
  <w:style w:type="paragraph" w:styleId="Listennummer2">
    <w:name w:val="List Number 2"/>
    <w:basedOn w:val="Standard"/>
    <w:rsid w:val="00AE0948"/>
    <w:pPr>
      <w:numPr>
        <w:ilvl w:val="1"/>
        <w:numId w:val="13"/>
      </w:numPr>
      <w:spacing w:after="0" w:line="288" w:lineRule="auto"/>
    </w:pPr>
    <w:rPr>
      <w:rFonts w:eastAsia="Times New Roman" w:cs="Times New Roman"/>
      <w:sz w:val="22"/>
      <w:szCs w:val="24"/>
      <w:lang w:eastAsia="de-DE"/>
    </w:rPr>
  </w:style>
  <w:style w:type="paragraph" w:styleId="Listennummer3">
    <w:name w:val="List Number 3"/>
    <w:basedOn w:val="Standard"/>
    <w:semiHidden/>
    <w:rsid w:val="00AE0948"/>
    <w:pPr>
      <w:numPr>
        <w:ilvl w:val="2"/>
        <w:numId w:val="13"/>
      </w:numPr>
      <w:spacing w:after="0" w:line="288" w:lineRule="auto"/>
    </w:pPr>
    <w:rPr>
      <w:rFonts w:eastAsia="Times New Roman" w:cs="Times New Roman"/>
      <w:sz w:val="22"/>
      <w:szCs w:val="24"/>
      <w:lang w:eastAsia="de-DE"/>
    </w:rPr>
  </w:style>
  <w:style w:type="paragraph" w:styleId="Listennummer4">
    <w:name w:val="List Number 4"/>
    <w:basedOn w:val="Standard"/>
    <w:semiHidden/>
    <w:rsid w:val="00AE0948"/>
    <w:pPr>
      <w:numPr>
        <w:ilvl w:val="3"/>
        <w:numId w:val="13"/>
      </w:numPr>
      <w:spacing w:after="0" w:line="288" w:lineRule="auto"/>
    </w:pPr>
    <w:rPr>
      <w:rFonts w:eastAsia="Times New Roman" w:cs="Times New Roman"/>
      <w:sz w:val="22"/>
      <w:szCs w:val="24"/>
      <w:lang w:eastAsia="de-DE"/>
    </w:rPr>
  </w:style>
  <w:style w:type="character" w:customStyle="1" w:styleId="BeschriftungZchn">
    <w:name w:val="Beschriftung Zchn"/>
    <w:basedOn w:val="Absatz-Standardschriftart"/>
    <w:link w:val="Beschriftung"/>
    <w:rsid w:val="00AE0948"/>
    <w:rPr>
      <w:rFonts w:ascii="Times New Roman" w:hAnsi="Times New Roman"/>
      <w:b/>
      <w:bCs/>
      <w:color w:val="4F81BD" w:themeColor="accent1"/>
      <w:sz w:val="18"/>
      <w:szCs w:val="18"/>
    </w:rPr>
  </w:style>
  <w:style w:type="character" w:styleId="Hyperlink">
    <w:name w:val="Hyperlink"/>
    <w:basedOn w:val="Absatz-Standardschriftart"/>
    <w:uiPriority w:val="99"/>
    <w:unhideWhenUsed/>
    <w:rsid w:val="00F766FE"/>
    <w:rPr>
      <w:color w:val="0000FF" w:themeColor="hyperlink"/>
      <w:u w:val="single"/>
    </w:rPr>
  </w:style>
  <w:style w:type="paragraph" w:customStyle="1" w:styleId="Default">
    <w:name w:val="Default"/>
    <w:rsid w:val="0047593E"/>
    <w:pPr>
      <w:autoSpaceDE w:val="0"/>
      <w:autoSpaceDN w:val="0"/>
      <w:adjustRightInd w:val="0"/>
      <w:spacing w:after="0" w:line="240" w:lineRule="auto"/>
    </w:pPr>
    <w:rPr>
      <w:rFonts w:ascii="Arial" w:hAnsi="Arial" w:cs="Arial"/>
      <w:color w:val="000000"/>
      <w:sz w:val="24"/>
      <w:szCs w:val="24"/>
    </w:rPr>
  </w:style>
  <w:style w:type="paragraph" w:styleId="berarbeitung">
    <w:name w:val="Revision"/>
    <w:hidden/>
    <w:uiPriority w:val="99"/>
    <w:semiHidden/>
    <w:rsid w:val="00FC7E62"/>
    <w:pPr>
      <w:spacing w:after="0" w:line="240" w:lineRule="auto"/>
    </w:pPr>
    <w:rPr>
      <w:rFonts w:ascii="Times New Roman" w:hAnsi="Times New Roman"/>
      <w:sz w:val="24"/>
    </w:rPr>
  </w:style>
  <w:style w:type="character" w:styleId="BesuchterHyperlink">
    <w:name w:val="FollowedHyperlink"/>
    <w:basedOn w:val="Absatz-Standardschriftart"/>
    <w:uiPriority w:val="99"/>
    <w:semiHidden/>
    <w:unhideWhenUsed/>
    <w:rsid w:val="005E105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Number"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A0EF9"/>
    <w:rPr>
      <w:rFonts w:ascii="Times New Roman" w:hAnsi="Times New Roman"/>
      <w:sz w:val="24"/>
    </w:rPr>
  </w:style>
  <w:style w:type="paragraph" w:styleId="berschrift1">
    <w:name w:val="heading 1"/>
    <w:basedOn w:val="Standard"/>
    <w:next w:val="Standard"/>
    <w:link w:val="berschrift1Zchn"/>
    <w:uiPriority w:val="9"/>
    <w:qFormat/>
    <w:rsid w:val="009A0E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F2499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9C7987"/>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9C798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03506F"/>
    <w:pPr>
      <w:spacing w:after="0" w:line="240" w:lineRule="auto"/>
    </w:pPr>
  </w:style>
  <w:style w:type="paragraph" w:styleId="Kopfzeile">
    <w:name w:val="header"/>
    <w:basedOn w:val="Standard"/>
    <w:link w:val="KopfzeileZchn"/>
    <w:uiPriority w:val="99"/>
    <w:unhideWhenUsed/>
    <w:rsid w:val="0070581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05817"/>
  </w:style>
  <w:style w:type="paragraph" w:styleId="Fuzeile">
    <w:name w:val="footer"/>
    <w:basedOn w:val="Standard"/>
    <w:link w:val="FuzeileZchn"/>
    <w:uiPriority w:val="99"/>
    <w:unhideWhenUsed/>
    <w:rsid w:val="0070581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05817"/>
  </w:style>
  <w:style w:type="paragraph" w:styleId="Sprechblasentext">
    <w:name w:val="Balloon Text"/>
    <w:basedOn w:val="Standard"/>
    <w:link w:val="SprechblasentextZchn"/>
    <w:uiPriority w:val="99"/>
    <w:semiHidden/>
    <w:unhideWhenUsed/>
    <w:rsid w:val="0070581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05817"/>
    <w:rPr>
      <w:rFonts w:ascii="Tahoma" w:hAnsi="Tahoma" w:cs="Tahoma"/>
      <w:sz w:val="16"/>
      <w:szCs w:val="16"/>
    </w:rPr>
  </w:style>
  <w:style w:type="character" w:customStyle="1" w:styleId="berschrift2Zchn">
    <w:name w:val="Überschrift 2 Zchn"/>
    <w:basedOn w:val="Absatz-Standardschriftart"/>
    <w:link w:val="berschrift2"/>
    <w:uiPriority w:val="9"/>
    <w:rsid w:val="00F24990"/>
    <w:rPr>
      <w:rFonts w:asciiTheme="majorHAnsi" w:eastAsiaTheme="majorEastAsia" w:hAnsiTheme="majorHAnsi" w:cstheme="majorBidi"/>
      <w:b/>
      <w:bCs/>
      <w:color w:val="4F81BD" w:themeColor="accent1"/>
      <w:sz w:val="26"/>
      <w:szCs w:val="26"/>
    </w:rPr>
  </w:style>
  <w:style w:type="character" w:customStyle="1" w:styleId="berschrift1Zchn">
    <w:name w:val="Überschrift 1 Zchn"/>
    <w:basedOn w:val="Absatz-Standardschriftart"/>
    <w:link w:val="berschrift1"/>
    <w:uiPriority w:val="9"/>
    <w:rsid w:val="009A0EF9"/>
    <w:rPr>
      <w:rFonts w:asciiTheme="majorHAnsi" w:eastAsiaTheme="majorEastAsia" w:hAnsiTheme="majorHAnsi" w:cstheme="majorBidi"/>
      <w:b/>
      <w:bCs/>
      <w:color w:val="365F91" w:themeColor="accent1" w:themeShade="BF"/>
      <w:sz w:val="28"/>
      <w:szCs w:val="28"/>
    </w:rPr>
  </w:style>
  <w:style w:type="paragraph" w:styleId="Listenabsatz">
    <w:name w:val="List Paragraph"/>
    <w:basedOn w:val="Standard"/>
    <w:uiPriority w:val="34"/>
    <w:qFormat/>
    <w:rsid w:val="00974FF3"/>
    <w:pPr>
      <w:ind w:left="720"/>
      <w:contextualSpacing/>
    </w:pPr>
  </w:style>
  <w:style w:type="paragraph" w:styleId="StandardWeb">
    <w:name w:val="Normal (Web)"/>
    <w:basedOn w:val="Standard"/>
    <w:uiPriority w:val="99"/>
    <w:semiHidden/>
    <w:unhideWhenUsed/>
    <w:rsid w:val="001E4DAF"/>
    <w:pPr>
      <w:spacing w:before="100" w:beforeAutospacing="1" w:after="100" w:afterAutospacing="1" w:line="240" w:lineRule="auto"/>
    </w:pPr>
    <w:rPr>
      <w:rFonts w:eastAsiaTheme="minorEastAsia" w:cs="Times New Roman"/>
      <w:szCs w:val="24"/>
      <w:lang w:eastAsia="de-DE"/>
    </w:rPr>
  </w:style>
  <w:style w:type="character" w:styleId="Kommentarzeichen">
    <w:name w:val="annotation reference"/>
    <w:basedOn w:val="Absatz-Standardschriftart"/>
    <w:uiPriority w:val="99"/>
    <w:semiHidden/>
    <w:unhideWhenUsed/>
    <w:rsid w:val="00F15728"/>
    <w:rPr>
      <w:sz w:val="16"/>
      <w:szCs w:val="16"/>
    </w:rPr>
  </w:style>
  <w:style w:type="paragraph" w:styleId="Kommentartext">
    <w:name w:val="annotation text"/>
    <w:basedOn w:val="Standard"/>
    <w:link w:val="KommentartextZchn"/>
    <w:uiPriority w:val="99"/>
    <w:semiHidden/>
    <w:unhideWhenUsed/>
    <w:rsid w:val="00F1572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15728"/>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F15728"/>
    <w:rPr>
      <w:b/>
      <w:bCs/>
    </w:rPr>
  </w:style>
  <w:style w:type="character" w:customStyle="1" w:styleId="KommentarthemaZchn">
    <w:name w:val="Kommentarthema Zchn"/>
    <w:basedOn w:val="KommentartextZchn"/>
    <w:link w:val="Kommentarthema"/>
    <w:uiPriority w:val="99"/>
    <w:semiHidden/>
    <w:rsid w:val="00F15728"/>
    <w:rPr>
      <w:rFonts w:ascii="Times New Roman" w:hAnsi="Times New Roman"/>
      <w:b/>
      <w:bCs/>
      <w:sz w:val="20"/>
      <w:szCs w:val="20"/>
    </w:rPr>
  </w:style>
  <w:style w:type="paragraph" w:styleId="Literaturverzeichnis">
    <w:name w:val="Bibliography"/>
    <w:basedOn w:val="Standard"/>
    <w:next w:val="Standard"/>
    <w:uiPriority w:val="37"/>
    <w:unhideWhenUsed/>
    <w:rsid w:val="00367E96"/>
    <w:pPr>
      <w:spacing w:after="240" w:line="240" w:lineRule="auto"/>
      <w:ind w:left="720" w:hanging="720"/>
    </w:pPr>
  </w:style>
  <w:style w:type="paragraph" w:styleId="Beschriftung">
    <w:name w:val="caption"/>
    <w:basedOn w:val="Standard"/>
    <w:next w:val="Standard"/>
    <w:link w:val="BeschriftungZchn"/>
    <w:unhideWhenUsed/>
    <w:qFormat/>
    <w:rsid w:val="00A443CB"/>
    <w:pPr>
      <w:spacing w:line="240" w:lineRule="auto"/>
    </w:pPr>
    <w:rPr>
      <w:b/>
      <w:bCs/>
      <w:color w:val="4F81BD" w:themeColor="accent1"/>
      <w:sz w:val="18"/>
      <w:szCs w:val="18"/>
    </w:rPr>
  </w:style>
  <w:style w:type="character" w:customStyle="1" w:styleId="berschrift3Zchn">
    <w:name w:val="Überschrift 3 Zchn"/>
    <w:basedOn w:val="Absatz-Standardschriftart"/>
    <w:link w:val="berschrift3"/>
    <w:uiPriority w:val="9"/>
    <w:semiHidden/>
    <w:rsid w:val="009C7987"/>
    <w:rPr>
      <w:rFonts w:asciiTheme="majorHAnsi" w:eastAsiaTheme="majorEastAsia" w:hAnsiTheme="majorHAnsi" w:cstheme="majorBidi"/>
      <w:b/>
      <w:bCs/>
      <w:color w:val="4F81BD" w:themeColor="accent1"/>
      <w:sz w:val="24"/>
    </w:rPr>
  </w:style>
  <w:style w:type="character" w:customStyle="1" w:styleId="berschrift4Zchn">
    <w:name w:val="Überschrift 4 Zchn"/>
    <w:basedOn w:val="Absatz-Standardschriftart"/>
    <w:link w:val="berschrift4"/>
    <w:uiPriority w:val="9"/>
    <w:semiHidden/>
    <w:rsid w:val="009C7987"/>
    <w:rPr>
      <w:rFonts w:asciiTheme="majorHAnsi" w:eastAsiaTheme="majorEastAsia" w:hAnsiTheme="majorHAnsi" w:cstheme="majorBidi"/>
      <w:b/>
      <w:bCs/>
      <w:i/>
      <w:iCs/>
      <w:color w:val="4F81BD" w:themeColor="accent1"/>
      <w:sz w:val="24"/>
    </w:rPr>
  </w:style>
  <w:style w:type="paragraph" w:styleId="Textkrper">
    <w:name w:val="Body Text"/>
    <w:basedOn w:val="Standard"/>
    <w:link w:val="TextkrperZchn"/>
    <w:rsid w:val="00AE0948"/>
    <w:pPr>
      <w:spacing w:after="100" w:afterAutospacing="1" w:line="288" w:lineRule="auto"/>
      <w:jc w:val="both"/>
    </w:pPr>
    <w:rPr>
      <w:rFonts w:eastAsia="Times New Roman" w:cs="Times New Roman"/>
      <w:sz w:val="22"/>
      <w:szCs w:val="24"/>
      <w:lang w:eastAsia="de-DE"/>
    </w:rPr>
  </w:style>
  <w:style w:type="character" w:customStyle="1" w:styleId="TextkrperZchn">
    <w:name w:val="Textkörper Zchn"/>
    <w:basedOn w:val="Absatz-Standardschriftart"/>
    <w:link w:val="Textkrper"/>
    <w:rsid w:val="00AE0948"/>
    <w:rPr>
      <w:rFonts w:ascii="Times New Roman" w:eastAsia="Times New Roman" w:hAnsi="Times New Roman" w:cs="Times New Roman"/>
      <w:szCs w:val="24"/>
      <w:lang w:eastAsia="de-DE"/>
    </w:rPr>
  </w:style>
  <w:style w:type="numbering" w:customStyle="1" w:styleId="Auflistung">
    <w:name w:val="Auflistung"/>
    <w:basedOn w:val="KeineListe"/>
    <w:semiHidden/>
    <w:rsid w:val="00AE0948"/>
    <w:pPr>
      <w:numPr>
        <w:numId w:val="12"/>
      </w:numPr>
    </w:pPr>
  </w:style>
  <w:style w:type="paragraph" w:styleId="Listennummer">
    <w:name w:val="List Number"/>
    <w:basedOn w:val="Standard"/>
    <w:rsid w:val="00AE0948"/>
    <w:pPr>
      <w:numPr>
        <w:numId w:val="13"/>
      </w:numPr>
      <w:spacing w:after="0" w:line="288" w:lineRule="auto"/>
    </w:pPr>
    <w:rPr>
      <w:rFonts w:eastAsia="Times New Roman" w:cs="Times New Roman"/>
      <w:sz w:val="22"/>
      <w:szCs w:val="24"/>
      <w:lang w:eastAsia="de-DE"/>
    </w:rPr>
  </w:style>
  <w:style w:type="paragraph" w:styleId="Listennummer2">
    <w:name w:val="List Number 2"/>
    <w:basedOn w:val="Standard"/>
    <w:rsid w:val="00AE0948"/>
    <w:pPr>
      <w:numPr>
        <w:ilvl w:val="1"/>
        <w:numId w:val="13"/>
      </w:numPr>
      <w:spacing w:after="0" w:line="288" w:lineRule="auto"/>
    </w:pPr>
    <w:rPr>
      <w:rFonts w:eastAsia="Times New Roman" w:cs="Times New Roman"/>
      <w:sz w:val="22"/>
      <w:szCs w:val="24"/>
      <w:lang w:eastAsia="de-DE"/>
    </w:rPr>
  </w:style>
  <w:style w:type="paragraph" w:styleId="Listennummer3">
    <w:name w:val="List Number 3"/>
    <w:basedOn w:val="Standard"/>
    <w:semiHidden/>
    <w:rsid w:val="00AE0948"/>
    <w:pPr>
      <w:numPr>
        <w:ilvl w:val="2"/>
        <w:numId w:val="13"/>
      </w:numPr>
      <w:spacing w:after="0" w:line="288" w:lineRule="auto"/>
    </w:pPr>
    <w:rPr>
      <w:rFonts w:eastAsia="Times New Roman" w:cs="Times New Roman"/>
      <w:sz w:val="22"/>
      <w:szCs w:val="24"/>
      <w:lang w:eastAsia="de-DE"/>
    </w:rPr>
  </w:style>
  <w:style w:type="paragraph" w:styleId="Listennummer4">
    <w:name w:val="List Number 4"/>
    <w:basedOn w:val="Standard"/>
    <w:semiHidden/>
    <w:rsid w:val="00AE0948"/>
    <w:pPr>
      <w:numPr>
        <w:ilvl w:val="3"/>
        <w:numId w:val="13"/>
      </w:numPr>
      <w:spacing w:after="0" w:line="288" w:lineRule="auto"/>
    </w:pPr>
    <w:rPr>
      <w:rFonts w:eastAsia="Times New Roman" w:cs="Times New Roman"/>
      <w:sz w:val="22"/>
      <w:szCs w:val="24"/>
      <w:lang w:eastAsia="de-DE"/>
    </w:rPr>
  </w:style>
  <w:style w:type="character" w:customStyle="1" w:styleId="BeschriftungZchn">
    <w:name w:val="Beschriftung Zchn"/>
    <w:basedOn w:val="Absatz-Standardschriftart"/>
    <w:link w:val="Beschriftung"/>
    <w:rsid w:val="00AE0948"/>
    <w:rPr>
      <w:rFonts w:ascii="Times New Roman" w:hAnsi="Times New Roman"/>
      <w:b/>
      <w:bCs/>
      <w:color w:val="4F81BD" w:themeColor="accent1"/>
      <w:sz w:val="18"/>
      <w:szCs w:val="18"/>
    </w:rPr>
  </w:style>
  <w:style w:type="character" w:styleId="Hyperlink">
    <w:name w:val="Hyperlink"/>
    <w:basedOn w:val="Absatz-Standardschriftart"/>
    <w:uiPriority w:val="99"/>
    <w:unhideWhenUsed/>
    <w:rsid w:val="00F766FE"/>
    <w:rPr>
      <w:color w:val="0000FF" w:themeColor="hyperlink"/>
      <w:u w:val="single"/>
    </w:rPr>
  </w:style>
  <w:style w:type="paragraph" w:customStyle="1" w:styleId="Default">
    <w:name w:val="Default"/>
    <w:rsid w:val="0047593E"/>
    <w:pPr>
      <w:autoSpaceDE w:val="0"/>
      <w:autoSpaceDN w:val="0"/>
      <w:adjustRightInd w:val="0"/>
      <w:spacing w:after="0" w:line="240" w:lineRule="auto"/>
    </w:pPr>
    <w:rPr>
      <w:rFonts w:ascii="Arial" w:hAnsi="Arial" w:cs="Arial"/>
      <w:color w:val="000000"/>
      <w:sz w:val="24"/>
      <w:szCs w:val="24"/>
    </w:rPr>
  </w:style>
  <w:style w:type="paragraph" w:styleId="berarbeitung">
    <w:name w:val="Revision"/>
    <w:hidden/>
    <w:uiPriority w:val="99"/>
    <w:semiHidden/>
    <w:rsid w:val="00FC7E62"/>
    <w:pPr>
      <w:spacing w:after="0" w:line="240" w:lineRule="auto"/>
    </w:pPr>
    <w:rPr>
      <w:rFonts w:ascii="Times New Roman" w:hAnsi="Times New Roman"/>
      <w:sz w:val="24"/>
    </w:rPr>
  </w:style>
  <w:style w:type="character" w:styleId="BesuchterHyperlink">
    <w:name w:val="FollowedHyperlink"/>
    <w:basedOn w:val="Absatz-Standardschriftart"/>
    <w:uiPriority w:val="99"/>
    <w:semiHidden/>
    <w:unhideWhenUsed/>
    <w:rsid w:val="005E105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3242494">
      <w:bodyDiv w:val="1"/>
      <w:marLeft w:val="0"/>
      <w:marRight w:val="0"/>
      <w:marTop w:val="0"/>
      <w:marBottom w:val="0"/>
      <w:divBdr>
        <w:top w:val="none" w:sz="0" w:space="0" w:color="auto"/>
        <w:left w:val="none" w:sz="0" w:space="0" w:color="auto"/>
        <w:bottom w:val="none" w:sz="0" w:space="0" w:color="auto"/>
        <w:right w:val="none" w:sz="0" w:space="0" w:color="auto"/>
      </w:divBdr>
    </w:div>
    <w:div w:id="647982606">
      <w:bodyDiv w:val="1"/>
      <w:marLeft w:val="0"/>
      <w:marRight w:val="0"/>
      <w:marTop w:val="0"/>
      <w:marBottom w:val="0"/>
      <w:divBdr>
        <w:top w:val="none" w:sz="0" w:space="0" w:color="auto"/>
        <w:left w:val="none" w:sz="0" w:space="0" w:color="auto"/>
        <w:bottom w:val="none" w:sz="0" w:space="0" w:color="auto"/>
        <w:right w:val="none" w:sz="0" w:space="0" w:color="auto"/>
      </w:divBdr>
    </w:div>
    <w:div w:id="683169004">
      <w:bodyDiv w:val="1"/>
      <w:marLeft w:val="0"/>
      <w:marRight w:val="0"/>
      <w:marTop w:val="0"/>
      <w:marBottom w:val="0"/>
      <w:divBdr>
        <w:top w:val="none" w:sz="0" w:space="0" w:color="auto"/>
        <w:left w:val="none" w:sz="0" w:space="0" w:color="auto"/>
        <w:bottom w:val="none" w:sz="0" w:space="0" w:color="auto"/>
        <w:right w:val="none" w:sz="0" w:space="0" w:color="auto"/>
      </w:divBdr>
      <w:divsChild>
        <w:div w:id="525021307">
          <w:marLeft w:val="288"/>
          <w:marRight w:val="0"/>
          <w:marTop w:val="120"/>
          <w:marBottom w:val="0"/>
          <w:divBdr>
            <w:top w:val="none" w:sz="0" w:space="0" w:color="auto"/>
            <w:left w:val="none" w:sz="0" w:space="0" w:color="auto"/>
            <w:bottom w:val="none" w:sz="0" w:space="0" w:color="auto"/>
            <w:right w:val="none" w:sz="0" w:space="0" w:color="auto"/>
          </w:divBdr>
        </w:div>
        <w:div w:id="752312343">
          <w:marLeft w:val="288"/>
          <w:marRight w:val="0"/>
          <w:marTop w:val="120"/>
          <w:marBottom w:val="0"/>
          <w:divBdr>
            <w:top w:val="none" w:sz="0" w:space="0" w:color="auto"/>
            <w:left w:val="none" w:sz="0" w:space="0" w:color="auto"/>
            <w:bottom w:val="none" w:sz="0" w:space="0" w:color="auto"/>
            <w:right w:val="none" w:sz="0" w:space="0" w:color="auto"/>
          </w:divBdr>
        </w:div>
        <w:div w:id="1453011281">
          <w:marLeft w:val="288"/>
          <w:marRight w:val="0"/>
          <w:marTop w:val="120"/>
          <w:marBottom w:val="0"/>
          <w:divBdr>
            <w:top w:val="none" w:sz="0" w:space="0" w:color="auto"/>
            <w:left w:val="none" w:sz="0" w:space="0" w:color="auto"/>
            <w:bottom w:val="none" w:sz="0" w:space="0" w:color="auto"/>
            <w:right w:val="none" w:sz="0" w:space="0" w:color="auto"/>
          </w:divBdr>
        </w:div>
        <w:div w:id="107285619">
          <w:marLeft w:val="288"/>
          <w:marRight w:val="0"/>
          <w:marTop w:val="120"/>
          <w:marBottom w:val="0"/>
          <w:divBdr>
            <w:top w:val="none" w:sz="0" w:space="0" w:color="auto"/>
            <w:left w:val="none" w:sz="0" w:space="0" w:color="auto"/>
            <w:bottom w:val="none" w:sz="0" w:space="0" w:color="auto"/>
            <w:right w:val="none" w:sz="0" w:space="0" w:color="auto"/>
          </w:divBdr>
        </w:div>
      </w:divsChild>
    </w:div>
    <w:div w:id="863904833">
      <w:bodyDiv w:val="1"/>
      <w:marLeft w:val="0"/>
      <w:marRight w:val="0"/>
      <w:marTop w:val="0"/>
      <w:marBottom w:val="0"/>
      <w:divBdr>
        <w:top w:val="none" w:sz="0" w:space="0" w:color="auto"/>
        <w:left w:val="none" w:sz="0" w:space="0" w:color="auto"/>
        <w:bottom w:val="none" w:sz="0" w:space="0" w:color="auto"/>
        <w:right w:val="none" w:sz="0" w:space="0" w:color="auto"/>
      </w:divBdr>
      <w:divsChild>
        <w:div w:id="1598362914">
          <w:marLeft w:val="288"/>
          <w:marRight w:val="0"/>
          <w:marTop w:val="120"/>
          <w:marBottom w:val="0"/>
          <w:divBdr>
            <w:top w:val="none" w:sz="0" w:space="0" w:color="auto"/>
            <w:left w:val="none" w:sz="0" w:space="0" w:color="auto"/>
            <w:bottom w:val="none" w:sz="0" w:space="0" w:color="auto"/>
            <w:right w:val="none" w:sz="0" w:space="0" w:color="auto"/>
          </w:divBdr>
        </w:div>
        <w:div w:id="1741708806">
          <w:marLeft w:val="288"/>
          <w:marRight w:val="0"/>
          <w:marTop w:val="120"/>
          <w:marBottom w:val="0"/>
          <w:divBdr>
            <w:top w:val="none" w:sz="0" w:space="0" w:color="auto"/>
            <w:left w:val="none" w:sz="0" w:space="0" w:color="auto"/>
            <w:bottom w:val="none" w:sz="0" w:space="0" w:color="auto"/>
            <w:right w:val="none" w:sz="0" w:space="0" w:color="auto"/>
          </w:divBdr>
        </w:div>
      </w:divsChild>
    </w:div>
    <w:div w:id="952981634">
      <w:bodyDiv w:val="1"/>
      <w:marLeft w:val="0"/>
      <w:marRight w:val="0"/>
      <w:marTop w:val="0"/>
      <w:marBottom w:val="0"/>
      <w:divBdr>
        <w:top w:val="none" w:sz="0" w:space="0" w:color="auto"/>
        <w:left w:val="none" w:sz="0" w:space="0" w:color="auto"/>
        <w:bottom w:val="none" w:sz="0" w:space="0" w:color="auto"/>
        <w:right w:val="none" w:sz="0" w:space="0" w:color="auto"/>
      </w:divBdr>
    </w:div>
    <w:div w:id="971595481">
      <w:bodyDiv w:val="1"/>
      <w:marLeft w:val="0"/>
      <w:marRight w:val="0"/>
      <w:marTop w:val="0"/>
      <w:marBottom w:val="0"/>
      <w:divBdr>
        <w:top w:val="none" w:sz="0" w:space="0" w:color="auto"/>
        <w:left w:val="none" w:sz="0" w:space="0" w:color="auto"/>
        <w:bottom w:val="none" w:sz="0" w:space="0" w:color="auto"/>
        <w:right w:val="none" w:sz="0" w:space="0" w:color="auto"/>
      </w:divBdr>
    </w:div>
    <w:div w:id="975531329">
      <w:bodyDiv w:val="1"/>
      <w:marLeft w:val="0"/>
      <w:marRight w:val="0"/>
      <w:marTop w:val="0"/>
      <w:marBottom w:val="0"/>
      <w:divBdr>
        <w:top w:val="none" w:sz="0" w:space="0" w:color="auto"/>
        <w:left w:val="none" w:sz="0" w:space="0" w:color="auto"/>
        <w:bottom w:val="none" w:sz="0" w:space="0" w:color="auto"/>
        <w:right w:val="none" w:sz="0" w:space="0" w:color="auto"/>
      </w:divBdr>
    </w:div>
    <w:div w:id="1305819697">
      <w:bodyDiv w:val="1"/>
      <w:marLeft w:val="0"/>
      <w:marRight w:val="0"/>
      <w:marTop w:val="0"/>
      <w:marBottom w:val="0"/>
      <w:divBdr>
        <w:top w:val="none" w:sz="0" w:space="0" w:color="auto"/>
        <w:left w:val="none" w:sz="0" w:space="0" w:color="auto"/>
        <w:bottom w:val="none" w:sz="0" w:space="0" w:color="auto"/>
        <w:right w:val="none" w:sz="0" w:space="0" w:color="auto"/>
      </w:divBdr>
      <w:divsChild>
        <w:div w:id="588972354">
          <w:marLeft w:val="547"/>
          <w:marRight w:val="0"/>
          <w:marTop w:val="0"/>
          <w:marBottom w:val="0"/>
          <w:divBdr>
            <w:top w:val="none" w:sz="0" w:space="0" w:color="auto"/>
            <w:left w:val="none" w:sz="0" w:space="0" w:color="auto"/>
            <w:bottom w:val="none" w:sz="0" w:space="0" w:color="auto"/>
            <w:right w:val="none" w:sz="0" w:space="0" w:color="auto"/>
          </w:divBdr>
        </w:div>
      </w:divsChild>
    </w:div>
    <w:div w:id="1944267083">
      <w:bodyDiv w:val="1"/>
      <w:marLeft w:val="0"/>
      <w:marRight w:val="0"/>
      <w:marTop w:val="0"/>
      <w:marBottom w:val="0"/>
      <w:divBdr>
        <w:top w:val="none" w:sz="0" w:space="0" w:color="auto"/>
        <w:left w:val="none" w:sz="0" w:space="0" w:color="auto"/>
        <w:bottom w:val="none" w:sz="0" w:space="0" w:color="auto"/>
        <w:right w:val="none" w:sz="0" w:space="0" w:color="auto"/>
      </w:divBdr>
      <w:divsChild>
        <w:div w:id="1017390086">
          <w:marLeft w:val="288"/>
          <w:marRight w:val="0"/>
          <w:marTop w:val="86"/>
          <w:marBottom w:val="0"/>
          <w:divBdr>
            <w:top w:val="none" w:sz="0" w:space="0" w:color="auto"/>
            <w:left w:val="none" w:sz="0" w:space="0" w:color="auto"/>
            <w:bottom w:val="none" w:sz="0" w:space="0" w:color="auto"/>
            <w:right w:val="none" w:sz="0" w:space="0" w:color="auto"/>
          </w:divBdr>
        </w:div>
        <w:div w:id="973170875">
          <w:marLeft w:val="288"/>
          <w:marRight w:val="0"/>
          <w:marTop w:val="86"/>
          <w:marBottom w:val="0"/>
          <w:divBdr>
            <w:top w:val="none" w:sz="0" w:space="0" w:color="auto"/>
            <w:left w:val="none" w:sz="0" w:space="0" w:color="auto"/>
            <w:bottom w:val="none" w:sz="0" w:space="0" w:color="auto"/>
            <w:right w:val="none" w:sz="0" w:space="0" w:color="auto"/>
          </w:divBdr>
        </w:div>
      </w:divsChild>
    </w:div>
    <w:div w:id="1955282723">
      <w:bodyDiv w:val="1"/>
      <w:marLeft w:val="0"/>
      <w:marRight w:val="0"/>
      <w:marTop w:val="0"/>
      <w:marBottom w:val="0"/>
      <w:divBdr>
        <w:top w:val="none" w:sz="0" w:space="0" w:color="auto"/>
        <w:left w:val="none" w:sz="0" w:space="0" w:color="auto"/>
        <w:bottom w:val="none" w:sz="0" w:space="0" w:color="auto"/>
        <w:right w:val="none" w:sz="0" w:space="0" w:color="auto"/>
      </w:divBdr>
    </w:div>
    <w:div w:id="2056151356">
      <w:bodyDiv w:val="1"/>
      <w:marLeft w:val="0"/>
      <w:marRight w:val="0"/>
      <w:marTop w:val="0"/>
      <w:marBottom w:val="0"/>
      <w:divBdr>
        <w:top w:val="none" w:sz="0" w:space="0" w:color="auto"/>
        <w:left w:val="none" w:sz="0" w:space="0" w:color="auto"/>
        <w:bottom w:val="none" w:sz="0" w:space="0" w:color="auto"/>
        <w:right w:val="none" w:sz="0" w:space="0" w:color="auto"/>
      </w:divBdr>
    </w:div>
    <w:div w:id="2094007495">
      <w:bodyDiv w:val="1"/>
      <w:marLeft w:val="0"/>
      <w:marRight w:val="0"/>
      <w:marTop w:val="0"/>
      <w:marBottom w:val="0"/>
      <w:divBdr>
        <w:top w:val="none" w:sz="0" w:space="0" w:color="auto"/>
        <w:left w:val="none" w:sz="0" w:space="0" w:color="auto"/>
        <w:bottom w:val="none" w:sz="0" w:space="0" w:color="auto"/>
        <w:right w:val="none" w:sz="0" w:space="0" w:color="auto"/>
      </w:divBdr>
    </w:div>
    <w:div w:id="2118870848">
      <w:bodyDiv w:val="1"/>
      <w:marLeft w:val="0"/>
      <w:marRight w:val="0"/>
      <w:marTop w:val="0"/>
      <w:marBottom w:val="0"/>
      <w:divBdr>
        <w:top w:val="none" w:sz="0" w:space="0" w:color="auto"/>
        <w:left w:val="none" w:sz="0" w:space="0" w:color="auto"/>
        <w:bottom w:val="none" w:sz="0" w:space="0" w:color="auto"/>
        <w:right w:val="none" w:sz="0" w:space="0" w:color="auto"/>
      </w:divBdr>
      <w:divsChild>
        <w:div w:id="1908614348">
          <w:marLeft w:val="288"/>
          <w:marRight w:val="0"/>
          <w:marTop w:val="82"/>
          <w:marBottom w:val="0"/>
          <w:divBdr>
            <w:top w:val="none" w:sz="0" w:space="0" w:color="auto"/>
            <w:left w:val="none" w:sz="0" w:space="0" w:color="auto"/>
            <w:bottom w:val="none" w:sz="0" w:space="0" w:color="auto"/>
            <w:right w:val="none" w:sz="0" w:space="0" w:color="auto"/>
          </w:divBdr>
        </w:div>
        <w:div w:id="1363704118">
          <w:marLeft w:val="288"/>
          <w:marRight w:val="0"/>
          <w:marTop w:val="8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yperlink" Target="http://mail.ingenieur.de/de?t=/webMail/sfmc.list&amp;folderID=1311141242932&amp;prefID=1311141242931" TargetMode="Externa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9B1D5614434472795C8CEBF6BF6D4C3"/>
        <w:category>
          <w:name w:val="Allgemein"/>
          <w:gallery w:val="placeholder"/>
        </w:category>
        <w:types>
          <w:type w:val="bbPlcHdr"/>
        </w:types>
        <w:behaviors>
          <w:behavior w:val="content"/>
        </w:behaviors>
        <w:guid w:val="{8C9B7301-8C62-46F0-8FE9-53DDE32D9300}"/>
      </w:docPartPr>
      <w:docPartBody>
        <w:p w:rsidR="008B7175" w:rsidRDefault="0012137A" w:rsidP="0012137A">
          <w:pPr>
            <w:pStyle w:val="E9B1D5614434472795C8CEBF6BF6D4C3"/>
          </w:pPr>
          <w:r>
            <w:rPr>
              <w:rFonts w:asciiTheme="majorHAnsi" w:eastAsiaTheme="majorEastAsia" w:hAnsiTheme="majorHAnsi" w:cstheme="majorBidi"/>
              <w:sz w:val="32"/>
              <w:szCs w:val="32"/>
            </w:rPr>
            <w:t>[Geben Sie den Titel des Dokuments ein]</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formatting="0" w:inkAnnotations="0"/>
  <w:defaultTabStop w:val="708"/>
  <w:hyphenationZone w:val="425"/>
  <w:characterSpacingControl w:val="doNotCompress"/>
  <w:compat>
    <w:useFELayout/>
  </w:compat>
  <w:rsids>
    <w:rsidRoot w:val="0012137A"/>
    <w:rsid w:val="000769BD"/>
    <w:rsid w:val="0012137A"/>
    <w:rsid w:val="001C6EE1"/>
    <w:rsid w:val="0025384F"/>
    <w:rsid w:val="008B7175"/>
    <w:rsid w:val="008F373A"/>
    <w:rsid w:val="00950E68"/>
    <w:rsid w:val="0098628E"/>
    <w:rsid w:val="009A6F04"/>
    <w:rsid w:val="00C977C0"/>
    <w:rsid w:val="00F24A03"/>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C6EE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9B1D5614434472795C8CEBF6BF6D4C3">
    <w:name w:val="E9B1D5614434472795C8CEBF6BF6D4C3"/>
    <w:rsid w:val="0012137A"/>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7038AD-B1F9-4B34-A533-0E7FAC27D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7876</Words>
  <Characters>49624</Characters>
  <Application>Microsoft Office Word</Application>
  <DocSecurity>0</DocSecurity>
  <Lines>413</Lines>
  <Paragraphs>114</Paragraphs>
  <ScaleCrop>false</ScaleCrop>
  <HeadingPairs>
    <vt:vector size="2" baseType="variant">
      <vt:variant>
        <vt:lpstr>Titel</vt:lpstr>
      </vt:variant>
      <vt:variant>
        <vt:i4>1</vt:i4>
      </vt:variant>
    </vt:vector>
  </HeadingPairs>
  <TitlesOfParts>
    <vt:vector size="1" baseType="lpstr">
      <vt:lpstr>Arbeitskreis Energie in der DPG (AKE)</vt:lpstr>
    </vt:vector>
  </TitlesOfParts>
  <Company>DBFZ - Deutsches BiomasseForschungsZentrum</Company>
  <LinksUpToDate>false</LinksUpToDate>
  <CharactersWithSpaces>57386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Arbeitskreis Energie in der DPG (AKE)</dc:title>
  <dc:creator>hb-admin</dc:creator>
  <cp:lastModifiedBy>Dr. Gerhard Luther</cp:lastModifiedBy>
  <cp:revision>2</cp:revision>
  <cp:lastPrinted>2012-03-29T11:40:00Z</cp:lastPrinted>
  <dcterms:created xsi:type="dcterms:W3CDTF">2014-07-01T10:09:00Z</dcterms:created>
  <dcterms:modified xsi:type="dcterms:W3CDTF">2014-07-01T10:09:00Z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zotero-version="4.0.21.3"&gt;&lt;session id="2IgXdFro"/&gt;&lt;style id="http://www.zotero.org/styles/din-1505-2" hasBibliography="1" bibliographyStyleHasBeenSet="1"/&gt;&lt;prefs&gt;&lt;pref name="fieldType" value="Field"/&gt;&lt;pref name="storeReferences" val</vt:lpwstr>
  </property>
  <property fmtid="{D5CDD505-2E9C-101B-9397-08002B2CF9AE}" pid="3" name="ZOTERO_PREF_2">
    <vt:lpwstr>ue="true"/&gt;&lt;pref name="automaticJournalAbbreviations" value="true"/&gt;&lt;pref name="noteType" value="0"/&gt;&lt;/prefs&gt;&lt;/data&gt;</vt:lpwstr>
  </property>
</Properties>
</file>