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4CFF" w14:textId="60C400F1" w:rsidR="00EB46C4" w:rsidRPr="00EB46C4" w:rsidRDefault="00EB46C4" w:rsidP="00EB46C4">
      <w:pPr>
        <w:pStyle w:val="Titel"/>
      </w:pPr>
      <w:proofErr w:type="spellStart"/>
      <w:r w:rsidRPr="00EB46C4">
        <w:t>DPG2024</w:t>
      </w:r>
      <w:proofErr w:type="spellEnd"/>
      <w:r w:rsidRPr="00EB46C4">
        <w:t xml:space="preserve">-AKE: </w:t>
      </w:r>
      <w:r>
        <w:br/>
      </w:r>
      <w:r w:rsidRPr="00EB46C4">
        <w:t xml:space="preserve">Abstracts der Vorträge und Poster </w:t>
      </w:r>
    </w:p>
    <w:p w14:paraId="5673A47A" w14:textId="77777777" w:rsidR="00EB46C4" w:rsidRDefault="00EB46C4" w:rsidP="003D3AE7"/>
    <w:p w14:paraId="316AD346" w14:textId="77777777" w:rsidR="00EB46C4" w:rsidRDefault="00EB46C4" w:rsidP="003D3AE7"/>
    <w:p w14:paraId="458C3B54" w14:textId="2D79B6E9" w:rsidR="003D3AE7" w:rsidRDefault="00812E69" w:rsidP="003D3AE7">
      <w:proofErr w:type="spellStart"/>
      <w:r>
        <w:t>Ur</w:t>
      </w:r>
      <w:r w:rsidR="003D3AE7">
        <w:t>Quelle</w:t>
      </w:r>
      <w:proofErr w:type="spellEnd"/>
      <w:r w:rsidR="003D3AE7">
        <w:t xml:space="preserve">: </w:t>
      </w:r>
      <w:hyperlink r:id="rId5" w:history="1">
        <w:r w:rsidR="003D3AE7" w:rsidRPr="008F4FAC">
          <w:rPr>
            <w:rStyle w:val="Hyperlink"/>
          </w:rPr>
          <w:t>https://www.dpg-verhandlungen.de/year/2024/conference/berlin/part/ake</w:t>
        </w:r>
      </w:hyperlink>
      <w:r w:rsidR="003D3AE7">
        <w:t xml:space="preserve"> </w:t>
      </w:r>
    </w:p>
    <w:p w14:paraId="5EE355ED" w14:textId="0FBD11A4" w:rsidR="003C1CAD" w:rsidRDefault="003C1CAD" w:rsidP="003D3AE7">
      <w:r>
        <w:t xml:space="preserve">                 </w:t>
      </w:r>
      <w:hyperlink r:id="rId6" w:history="1">
        <w:r w:rsidRPr="00FB4A29">
          <w:rPr>
            <w:rStyle w:val="Hyperlink"/>
          </w:rPr>
          <w:t>https://</w:t>
        </w:r>
        <w:proofErr w:type="spellStart"/>
        <w:r w:rsidRPr="00FB4A29">
          <w:rPr>
            <w:rStyle w:val="Hyperlink"/>
          </w:rPr>
          <w:t>www.dpg-verhandlunge</w:t>
        </w:r>
        <w:r w:rsidRPr="00FB4A29">
          <w:rPr>
            <w:rStyle w:val="Hyperlink"/>
          </w:rPr>
          <w:t>n</w:t>
        </w:r>
        <w:r w:rsidRPr="00FB4A29">
          <w:rPr>
            <w:rStyle w:val="Hyperlink"/>
          </w:rPr>
          <w:t>.de</w:t>
        </w:r>
        <w:proofErr w:type="spellEnd"/>
        <w:r w:rsidRPr="00FB4A29">
          <w:rPr>
            <w:rStyle w:val="Hyperlink"/>
          </w:rPr>
          <w:t>/</w:t>
        </w:r>
        <w:proofErr w:type="spellStart"/>
        <w:r w:rsidRPr="00FB4A29">
          <w:rPr>
            <w:rStyle w:val="Hyperlink"/>
          </w:rPr>
          <w:t>year</w:t>
        </w:r>
        <w:proofErr w:type="spellEnd"/>
        <w:r w:rsidRPr="00FB4A29">
          <w:rPr>
            <w:rStyle w:val="Hyperlink"/>
          </w:rPr>
          <w:t>/2024/</w:t>
        </w:r>
        <w:proofErr w:type="spellStart"/>
        <w:r w:rsidRPr="00FB4A29">
          <w:rPr>
            <w:rStyle w:val="Hyperlink"/>
          </w:rPr>
          <w:t>conference</w:t>
        </w:r>
        <w:proofErr w:type="spellEnd"/>
        <w:r w:rsidRPr="00FB4A29">
          <w:rPr>
            <w:rStyle w:val="Hyperlink"/>
          </w:rPr>
          <w:t>/</w:t>
        </w:r>
        <w:proofErr w:type="spellStart"/>
        <w:r w:rsidRPr="00FB4A29">
          <w:rPr>
            <w:rStyle w:val="Hyperlink"/>
          </w:rPr>
          <w:t>berlin</w:t>
        </w:r>
        <w:proofErr w:type="spellEnd"/>
        <w:r w:rsidRPr="00FB4A29">
          <w:rPr>
            <w:rStyle w:val="Hyperlink"/>
          </w:rPr>
          <w:t>/</w:t>
        </w:r>
      </w:hyperlink>
      <w:r>
        <w:t xml:space="preserve"> </w:t>
      </w:r>
    </w:p>
    <w:p w14:paraId="3FA4F880" w14:textId="77777777" w:rsidR="008C1034" w:rsidRDefault="008C1034"/>
    <w:p w14:paraId="6ABFF8B3" w14:textId="77777777" w:rsidR="003D3AE7" w:rsidRDefault="00000000" w:rsidP="003D3AE7">
      <w:pPr>
        <w:spacing w:before="120" w:after="120" w:line="240" w:lineRule="auto"/>
        <w:outlineLvl w:val="0"/>
        <w:rPr>
          <w:rFonts w:ascii="Verdana" w:eastAsia="Times New Roman" w:hAnsi="Verdana" w:cs="Times New Roman"/>
          <w:b/>
          <w:bCs/>
          <w:color w:val="000000"/>
          <w:kern w:val="36"/>
          <w:sz w:val="34"/>
          <w:szCs w:val="34"/>
          <w:lang w:eastAsia="de-DE"/>
          <w14:ligatures w14:val="none"/>
        </w:rPr>
      </w:pPr>
      <w:hyperlink r:id="rId7" w:history="1">
        <w:bookmarkStart w:id="0" w:name="_Toc161051681"/>
        <w:r w:rsidR="003D3AE7" w:rsidRPr="003D3AE7">
          <w:rPr>
            <w:rFonts w:ascii="Verdana" w:eastAsia="Times New Roman" w:hAnsi="Verdana" w:cs="Times New Roman"/>
            <w:b/>
            <w:bCs/>
            <w:color w:val="363B90"/>
            <w:kern w:val="36"/>
            <w:sz w:val="34"/>
            <w:szCs w:val="34"/>
            <w:u w:val="single"/>
            <w:lang w:eastAsia="de-DE"/>
            <w14:ligatures w14:val="none"/>
          </w:rPr>
          <w:t>AKE: Arbeitskreis Energie</w:t>
        </w:r>
        <w:bookmarkEnd w:id="0"/>
      </w:hyperlink>
    </w:p>
    <w:p w14:paraId="211D2F1A" w14:textId="672F9F72" w:rsidR="003D3AE7" w:rsidRDefault="003D3AE7" w:rsidP="003D3AE7">
      <w:pPr>
        <w:rPr>
          <w:lang w:eastAsia="de-DE"/>
        </w:rPr>
      </w:pPr>
      <w:r w:rsidRPr="003D3AE7">
        <w:rPr>
          <w:u w:val="single"/>
          <w:lang w:eastAsia="de-DE"/>
        </w:rPr>
        <w:t>Quellen</w:t>
      </w:r>
      <w:r w:rsidRPr="003D3AE7">
        <w:rPr>
          <w:lang w:eastAsia="de-DE"/>
        </w:rPr>
        <w:t xml:space="preserve">:  </w:t>
      </w:r>
      <w:hyperlink r:id="rId8" w:history="1">
        <w:r w:rsidRPr="003D3AE7">
          <w:rPr>
            <w:rStyle w:val="Hyperlink"/>
            <w:lang w:eastAsia="de-DE"/>
          </w:rPr>
          <w:t>https://www.dpg-verhandlungen.de/year/2024/conference/berlin/part/ake/session/1</w:t>
        </w:r>
      </w:hyperlink>
      <w:r>
        <w:rPr>
          <w:lang w:eastAsia="de-DE"/>
        </w:rPr>
        <w:t xml:space="preserve"> </w:t>
      </w:r>
    </w:p>
    <w:p w14:paraId="350ECF96" w14:textId="1F14ADC8" w:rsidR="003D3AE7" w:rsidRDefault="003D3AE7" w:rsidP="003D3AE7">
      <w:pPr>
        <w:rPr>
          <w:lang w:eastAsia="de-DE"/>
        </w:rPr>
      </w:pPr>
      <w:r>
        <w:rPr>
          <w:lang w:eastAsia="de-DE"/>
        </w:rPr>
        <w:t xml:space="preserve">               </w:t>
      </w:r>
      <w:hyperlink r:id="rId9" w:history="1">
        <w:r w:rsidRPr="0023639A">
          <w:rPr>
            <w:rStyle w:val="Hyperlink"/>
            <w:lang w:eastAsia="de-DE"/>
          </w:rPr>
          <w:t>https://www.dpg-verhandlungen.de/year/2024/conference/berlin/part/ake/session/2</w:t>
        </w:r>
      </w:hyperlink>
      <w:r>
        <w:rPr>
          <w:lang w:eastAsia="de-DE"/>
        </w:rPr>
        <w:t xml:space="preserve"> </w:t>
      </w:r>
    </w:p>
    <w:p w14:paraId="420D68E7" w14:textId="699E651A" w:rsidR="003D3AE7" w:rsidRDefault="003D3AE7" w:rsidP="003D3AE7">
      <w:pPr>
        <w:rPr>
          <w:lang w:eastAsia="de-DE"/>
        </w:rPr>
      </w:pPr>
      <w:r>
        <w:rPr>
          <w:lang w:eastAsia="de-DE"/>
        </w:rPr>
        <w:t xml:space="preserve">               </w:t>
      </w:r>
      <w:hyperlink r:id="rId10" w:history="1">
        <w:r w:rsidRPr="0023639A">
          <w:rPr>
            <w:rStyle w:val="Hyperlink"/>
            <w:lang w:eastAsia="de-DE"/>
          </w:rPr>
          <w:t>https://www.dpg-verhandlungen.de/year/2024/conference/berlin/part/ake/session/3</w:t>
        </w:r>
      </w:hyperlink>
      <w:r>
        <w:rPr>
          <w:lang w:eastAsia="de-DE"/>
        </w:rPr>
        <w:t xml:space="preserve"> </w:t>
      </w:r>
    </w:p>
    <w:sdt>
      <w:sdtPr>
        <w:rPr>
          <w:rFonts w:ascii="Arial" w:eastAsiaTheme="minorHAnsi" w:hAnsi="Arial" w:cstheme="minorBidi"/>
          <w:color w:val="auto"/>
          <w:kern w:val="2"/>
          <w:sz w:val="22"/>
          <w:szCs w:val="22"/>
          <w:lang w:eastAsia="en-US"/>
          <w14:ligatures w14:val="standardContextual"/>
        </w:rPr>
        <w:id w:val="721955987"/>
        <w:docPartObj>
          <w:docPartGallery w:val="Table of Contents"/>
          <w:docPartUnique/>
        </w:docPartObj>
      </w:sdtPr>
      <w:sdtEndPr>
        <w:rPr>
          <w:b/>
          <w:bCs/>
        </w:rPr>
      </w:sdtEndPr>
      <w:sdtContent>
        <w:p w14:paraId="020BA5EE" w14:textId="17A31548" w:rsidR="00391592" w:rsidRDefault="00391592">
          <w:pPr>
            <w:pStyle w:val="Inhaltsverzeichnisberschrift"/>
          </w:pPr>
          <w:r>
            <w:t>Inhaltsverzeichnis</w:t>
          </w:r>
        </w:p>
        <w:p w14:paraId="6EF675D9" w14:textId="637E4FAC" w:rsidR="00812E69" w:rsidRDefault="00391592">
          <w:pPr>
            <w:pStyle w:val="Verzeichnis1"/>
            <w:tabs>
              <w:tab w:val="right" w:leader="dot" w:pos="9062"/>
            </w:tabs>
            <w:rPr>
              <w:rFonts w:asciiTheme="minorHAnsi" w:eastAsiaTheme="minorEastAsia" w:hAnsiTheme="minorHAnsi"/>
              <w:noProof/>
              <w:sz w:val="24"/>
              <w:szCs w:val="24"/>
              <w:lang w:eastAsia="de-DE"/>
            </w:rPr>
          </w:pPr>
          <w:r>
            <w:fldChar w:fldCharType="begin"/>
          </w:r>
          <w:r>
            <w:instrText xml:space="preserve"> TOC \o "1-3" \h \z \u </w:instrText>
          </w:r>
          <w:r>
            <w:fldChar w:fldCharType="separate"/>
          </w:r>
          <w:hyperlink w:anchor="_Toc161051681" w:history="1">
            <w:r w:rsidR="00812E69" w:rsidRPr="00074558">
              <w:rPr>
                <w:rStyle w:val="Hyperlink"/>
                <w:rFonts w:ascii="Verdana" w:eastAsia="Times New Roman" w:hAnsi="Verdana" w:cs="Times New Roman"/>
                <w:b/>
                <w:bCs/>
                <w:noProof/>
                <w:kern w:val="36"/>
                <w:lang w:eastAsia="de-DE"/>
                <w14:ligatures w14:val="none"/>
              </w:rPr>
              <w:t>AKE: Arbeitskreis Energie</w:t>
            </w:r>
            <w:r w:rsidR="00812E69">
              <w:rPr>
                <w:noProof/>
                <w:webHidden/>
              </w:rPr>
              <w:tab/>
            </w:r>
            <w:r w:rsidR="00812E69">
              <w:rPr>
                <w:noProof/>
                <w:webHidden/>
              </w:rPr>
              <w:fldChar w:fldCharType="begin"/>
            </w:r>
            <w:r w:rsidR="00812E69">
              <w:rPr>
                <w:noProof/>
                <w:webHidden/>
              </w:rPr>
              <w:instrText xml:space="preserve"> PAGEREF _Toc161051681 \h </w:instrText>
            </w:r>
            <w:r w:rsidR="00812E69">
              <w:rPr>
                <w:noProof/>
                <w:webHidden/>
              </w:rPr>
            </w:r>
            <w:r w:rsidR="00812E69">
              <w:rPr>
                <w:noProof/>
                <w:webHidden/>
              </w:rPr>
              <w:fldChar w:fldCharType="separate"/>
            </w:r>
            <w:r w:rsidR="00812E69">
              <w:rPr>
                <w:noProof/>
                <w:webHidden/>
              </w:rPr>
              <w:t>1</w:t>
            </w:r>
            <w:r w:rsidR="00812E69">
              <w:rPr>
                <w:noProof/>
                <w:webHidden/>
              </w:rPr>
              <w:fldChar w:fldCharType="end"/>
            </w:r>
          </w:hyperlink>
        </w:p>
        <w:p w14:paraId="0013E55F" w14:textId="497FDBE6" w:rsidR="00812E69" w:rsidRDefault="00000000">
          <w:pPr>
            <w:pStyle w:val="Verzeichnis2"/>
            <w:tabs>
              <w:tab w:val="right" w:leader="dot" w:pos="9062"/>
            </w:tabs>
            <w:rPr>
              <w:rFonts w:asciiTheme="minorHAnsi" w:eastAsiaTheme="minorEastAsia" w:hAnsiTheme="minorHAnsi"/>
              <w:noProof/>
              <w:sz w:val="24"/>
              <w:szCs w:val="24"/>
              <w:lang w:eastAsia="de-DE"/>
            </w:rPr>
          </w:pPr>
          <w:hyperlink w:anchor="_Toc161051682" w:history="1">
            <w:r w:rsidR="00812E69" w:rsidRPr="00074558">
              <w:rPr>
                <w:rStyle w:val="Hyperlink"/>
                <w:rFonts w:eastAsia="Times New Roman"/>
                <w:b/>
                <w:bCs/>
                <w:noProof/>
                <w:lang w:eastAsia="de-DE"/>
              </w:rPr>
              <w:t>AKE 1: Innovative Energy Transformation Concepts</w:t>
            </w:r>
            <w:r w:rsidR="00812E69">
              <w:rPr>
                <w:noProof/>
                <w:webHidden/>
              </w:rPr>
              <w:tab/>
            </w:r>
            <w:r w:rsidR="00812E69">
              <w:rPr>
                <w:noProof/>
                <w:webHidden/>
              </w:rPr>
              <w:fldChar w:fldCharType="begin"/>
            </w:r>
            <w:r w:rsidR="00812E69">
              <w:rPr>
                <w:noProof/>
                <w:webHidden/>
              </w:rPr>
              <w:instrText xml:space="preserve"> PAGEREF _Toc161051682 \h </w:instrText>
            </w:r>
            <w:r w:rsidR="00812E69">
              <w:rPr>
                <w:noProof/>
                <w:webHidden/>
              </w:rPr>
            </w:r>
            <w:r w:rsidR="00812E69">
              <w:rPr>
                <w:noProof/>
                <w:webHidden/>
              </w:rPr>
              <w:fldChar w:fldCharType="separate"/>
            </w:r>
            <w:r w:rsidR="00812E69">
              <w:rPr>
                <w:noProof/>
                <w:webHidden/>
              </w:rPr>
              <w:t>1</w:t>
            </w:r>
            <w:r w:rsidR="00812E69">
              <w:rPr>
                <w:noProof/>
                <w:webHidden/>
              </w:rPr>
              <w:fldChar w:fldCharType="end"/>
            </w:r>
          </w:hyperlink>
        </w:p>
        <w:p w14:paraId="16531168" w14:textId="713BE356" w:rsidR="00812E69" w:rsidRDefault="00000000">
          <w:pPr>
            <w:pStyle w:val="Verzeichnis2"/>
            <w:tabs>
              <w:tab w:val="right" w:leader="dot" w:pos="9062"/>
            </w:tabs>
            <w:rPr>
              <w:rFonts w:asciiTheme="minorHAnsi" w:eastAsiaTheme="minorEastAsia" w:hAnsiTheme="minorHAnsi"/>
              <w:noProof/>
              <w:sz w:val="24"/>
              <w:szCs w:val="24"/>
              <w:lang w:eastAsia="de-DE"/>
            </w:rPr>
          </w:pPr>
          <w:hyperlink w:anchor="_Toc161051683" w:history="1">
            <w:r w:rsidR="00812E69" w:rsidRPr="00074558">
              <w:rPr>
                <w:rStyle w:val="Hyperlink"/>
                <w:b/>
                <w:bCs/>
                <w:noProof/>
                <w:lang w:val="en-US"/>
              </w:rPr>
              <w:t>AKE 2: Processes and Materials for Energy Technologies</w:t>
            </w:r>
            <w:r w:rsidR="00812E69">
              <w:rPr>
                <w:noProof/>
                <w:webHidden/>
              </w:rPr>
              <w:tab/>
            </w:r>
            <w:r w:rsidR="00812E69">
              <w:rPr>
                <w:noProof/>
                <w:webHidden/>
              </w:rPr>
              <w:fldChar w:fldCharType="begin"/>
            </w:r>
            <w:r w:rsidR="00812E69">
              <w:rPr>
                <w:noProof/>
                <w:webHidden/>
              </w:rPr>
              <w:instrText xml:space="preserve"> PAGEREF _Toc161051683 \h </w:instrText>
            </w:r>
            <w:r w:rsidR="00812E69">
              <w:rPr>
                <w:noProof/>
                <w:webHidden/>
              </w:rPr>
            </w:r>
            <w:r w:rsidR="00812E69">
              <w:rPr>
                <w:noProof/>
                <w:webHidden/>
              </w:rPr>
              <w:fldChar w:fldCharType="separate"/>
            </w:r>
            <w:r w:rsidR="00812E69">
              <w:rPr>
                <w:noProof/>
                <w:webHidden/>
              </w:rPr>
              <w:t>6</w:t>
            </w:r>
            <w:r w:rsidR="00812E69">
              <w:rPr>
                <w:noProof/>
                <w:webHidden/>
              </w:rPr>
              <w:fldChar w:fldCharType="end"/>
            </w:r>
          </w:hyperlink>
        </w:p>
        <w:p w14:paraId="0BCF767D" w14:textId="15BDFC0F" w:rsidR="00812E69" w:rsidRDefault="00000000">
          <w:pPr>
            <w:pStyle w:val="Verzeichnis2"/>
            <w:tabs>
              <w:tab w:val="right" w:leader="dot" w:pos="9062"/>
            </w:tabs>
            <w:rPr>
              <w:rFonts w:asciiTheme="minorHAnsi" w:eastAsiaTheme="minorEastAsia" w:hAnsiTheme="minorHAnsi"/>
              <w:noProof/>
              <w:sz w:val="24"/>
              <w:szCs w:val="24"/>
              <w:lang w:eastAsia="de-DE"/>
            </w:rPr>
          </w:pPr>
          <w:hyperlink w:anchor="_Toc161051684" w:history="1">
            <w:r w:rsidR="00812E69" w:rsidRPr="00074558">
              <w:rPr>
                <w:rStyle w:val="Hyperlink"/>
                <w:b/>
                <w:bCs/>
                <w:noProof/>
              </w:rPr>
              <w:t>AK</w:t>
            </w:r>
            <w:r w:rsidR="00812E69" w:rsidRPr="00074558">
              <w:rPr>
                <w:rStyle w:val="Hyperlink"/>
                <w:b/>
                <w:bCs/>
                <w:noProof/>
              </w:rPr>
              <w:t>E</w:t>
            </w:r>
            <w:r w:rsidR="00812E69" w:rsidRPr="00074558">
              <w:rPr>
                <w:rStyle w:val="Hyperlink"/>
                <w:b/>
                <w:bCs/>
                <w:noProof/>
              </w:rPr>
              <w:t xml:space="preserve"> 3: Poster</w:t>
            </w:r>
            <w:r w:rsidR="00812E69">
              <w:rPr>
                <w:noProof/>
                <w:webHidden/>
              </w:rPr>
              <w:tab/>
            </w:r>
            <w:r w:rsidR="00812E69">
              <w:rPr>
                <w:noProof/>
                <w:webHidden/>
              </w:rPr>
              <w:fldChar w:fldCharType="begin"/>
            </w:r>
            <w:r w:rsidR="00812E69">
              <w:rPr>
                <w:noProof/>
                <w:webHidden/>
              </w:rPr>
              <w:instrText xml:space="preserve"> PAGEREF _Toc161051684 \h </w:instrText>
            </w:r>
            <w:r w:rsidR="00812E69">
              <w:rPr>
                <w:noProof/>
                <w:webHidden/>
              </w:rPr>
            </w:r>
            <w:r w:rsidR="00812E69">
              <w:rPr>
                <w:noProof/>
                <w:webHidden/>
              </w:rPr>
              <w:fldChar w:fldCharType="separate"/>
            </w:r>
            <w:r w:rsidR="00812E69">
              <w:rPr>
                <w:noProof/>
                <w:webHidden/>
              </w:rPr>
              <w:t>9</w:t>
            </w:r>
            <w:r w:rsidR="00812E69">
              <w:rPr>
                <w:noProof/>
                <w:webHidden/>
              </w:rPr>
              <w:fldChar w:fldCharType="end"/>
            </w:r>
          </w:hyperlink>
        </w:p>
        <w:p w14:paraId="13E9535C" w14:textId="310140EB" w:rsidR="00391592" w:rsidRDefault="00391592">
          <w:r>
            <w:rPr>
              <w:b/>
              <w:bCs/>
            </w:rPr>
            <w:fldChar w:fldCharType="end"/>
          </w:r>
        </w:p>
      </w:sdtContent>
    </w:sdt>
    <w:p w14:paraId="04CF6EA1" w14:textId="77777777" w:rsidR="00391592" w:rsidRPr="003D3AE7" w:rsidRDefault="00391592" w:rsidP="003D3AE7">
      <w:pPr>
        <w:rPr>
          <w:lang w:eastAsia="de-DE"/>
        </w:rPr>
      </w:pPr>
    </w:p>
    <w:p w14:paraId="61B4D426" w14:textId="77777777" w:rsidR="003D3AE7" w:rsidRPr="00191792" w:rsidRDefault="003D3AE7" w:rsidP="003D3AE7">
      <w:pPr>
        <w:pStyle w:val="berschrift2"/>
        <w:rPr>
          <w:rFonts w:eastAsia="Times New Roman"/>
          <w:b/>
          <w:bCs/>
          <w:lang w:val="en-US" w:eastAsia="de-DE"/>
        </w:rPr>
      </w:pPr>
      <w:bookmarkStart w:id="1" w:name="_Toc161051682"/>
      <w:r w:rsidRPr="00191792">
        <w:rPr>
          <w:rFonts w:eastAsia="Times New Roman"/>
          <w:b/>
          <w:bCs/>
          <w:lang w:val="en-US" w:eastAsia="de-DE"/>
        </w:rPr>
        <w:t>AKE 1: Innovative Energy Transformation Concepts</w:t>
      </w:r>
      <w:bookmarkEnd w:id="1"/>
    </w:p>
    <w:p w14:paraId="713BAFEF" w14:textId="77777777" w:rsidR="003D3AE7" w:rsidRPr="00391592" w:rsidRDefault="003D3AE7" w:rsidP="00391592">
      <w:pPr>
        <w:rPr>
          <w:b/>
          <w:bCs/>
          <w:sz w:val="24"/>
          <w:szCs w:val="24"/>
          <w:lang w:eastAsia="de-DE"/>
        </w:rPr>
      </w:pPr>
      <w:r w:rsidRPr="00191792">
        <w:rPr>
          <w:b/>
          <w:bCs/>
          <w:sz w:val="24"/>
          <w:szCs w:val="24"/>
          <w:lang w:val="en-US" w:eastAsia="de-DE"/>
        </w:rPr>
        <w:t xml:space="preserve">Montag, 18. </w:t>
      </w:r>
      <w:r w:rsidRPr="00391592">
        <w:rPr>
          <w:b/>
          <w:bCs/>
          <w:sz w:val="24"/>
          <w:szCs w:val="24"/>
          <w:lang w:eastAsia="de-DE"/>
        </w:rPr>
        <w:t>März 2024, 15:00–17:15, TC 006</w:t>
      </w:r>
    </w:p>
    <w:p w14:paraId="6C8D3B07" w14:textId="521B4D20" w:rsidR="003D3AE7" w:rsidRPr="003D3AE7" w:rsidRDefault="003D3AE7" w:rsidP="003D3AE7">
      <w:pPr>
        <w:rPr>
          <w:u w:val="single"/>
          <w:lang w:eastAsia="de-DE"/>
        </w:rPr>
      </w:pPr>
      <w:r w:rsidRPr="003D3AE7">
        <w:rPr>
          <w:u w:val="single"/>
          <w:lang w:eastAsia="de-DE"/>
        </w:rPr>
        <w:t>Quelle</w:t>
      </w:r>
      <w:r>
        <w:rPr>
          <w:u w:val="single"/>
          <w:lang w:eastAsia="de-DE"/>
        </w:rPr>
        <w:t>n</w:t>
      </w:r>
      <w:r w:rsidRPr="003D3AE7">
        <w:rPr>
          <w:lang w:eastAsia="de-DE"/>
        </w:rPr>
        <w:t xml:space="preserve">:  </w:t>
      </w:r>
      <w:hyperlink r:id="rId11" w:history="1">
        <w:r w:rsidRPr="008F4FAC">
          <w:rPr>
            <w:rStyle w:val="Hyperlink"/>
            <w:lang w:eastAsia="de-DE"/>
          </w:rPr>
          <w:t>https://www.dpg-verhandlungen.de/year/2024/conference/berlin/part/ake/session/1</w:t>
        </w:r>
      </w:hyperlink>
      <w:r>
        <w:rPr>
          <w:u w:val="single"/>
          <w:lang w:eastAsia="de-DE"/>
        </w:rPr>
        <w:t xml:space="preserve"> </w:t>
      </w:r>
    </w:p>
    <w:p w14:paraId="19D966E0" w14:textId="77777777" w:rsidR="003D3AE7" w:rsidRPr="003D3AE7" w:rsidRDefault="003D3AE7" w:rsidP="003D3AE7">
      <w:pPr>
        <w:pBdr>
          <w:bottom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Formularbeginn</w:t>
      </w:r>
    </w:p>
    <w:p w14:paraId="430CD916" w14:textId="77777777" w:rsidR="003D3AE7" w:rsidRPr="003D3AE7" w:rsidRDefault="003D3AE7" w:rsidP="003D3AE7">
      <w:pPr>
        <w:pBdr>
          <w:top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Formularende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5"/>
        <w:gridCol w:w="937"/>
        <w:gridCol w:w="1244"/>
        <w:gridCol w:w="6246"/>
      </w:tblGrid>
      <w:tr w:rsidR="003D3AE7" w:rsidRPr="003D3AE7" w14:paraId="508BF636" w14:textId="77777777" w:rsidTr="003D3AE7">
        <w:trPr>
          <w:tblCellSpacing w:w="15" w:type="dxa"/>
        </w:trPr>
        <w:tc>
          <w:tcPr>
            <w:tcW w:w="0" w:type="auto"/>
            <w:tcMar>
              <w:top w:w="96" w:type="dxa"/>
              <w:left w:w="0" w:type="dxa"/>
              <w:bottom w:w="0" w:type="dxa"/>
              <w:right w:w="360" w:type="dxa"/>
            </w:tcMar>
            <w:hideMark/>
          </w:tcPr>
          <w:p w14:paraId="5EF0F955"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noProof/>
                <w:color w:val="363B90"/>
                <w:kern w:val="0"/>
                <w:sz w:val="24"/>
                <w:szCs w:val="24"/>
                <w:lang w:eastAsia="de-DE"/>
                <w14:ligatures w14:val="none"/>
              </w:rPr>
              <w:drawing>
                <wp:inline distT="0" distB="0" distL="0" distR="0" wp14:anchorId="61EBB850" wp14:editId="2B0AC6F5">
                  <wp:extent cx="152400" cy="152400"/>
                  <wp:effectExtent l="0" t="0" r="0" b="0"/>
                  <wp:docPr id="2" name="Bild 2" descr="Ein Bild, das Kreis, Symbol, Logo, Design enthält.&#10;&#10;Automatisch generierte Beschreib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Kreis, Symbol, Logo, Design enthält.&#10;&#10;Automatisch generierte Beschreibu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5D9A11A3"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15:00</w:t>
            </w:r>
          </w:p>
        </w:tc>
        <w:tc>
          <w:tcPr>
            <w:tcW w:w="0" w:type="auto"/>
            <w:noWrap/>
            <w:tcMar>
              <w:top w:w="96" w:type="dxa"/>
              <w:left w:w="0" w:type="dxa"/>
              <w:bottom w:w="0" w:type="dxa"/>
              <w:right w:w="360" w:type="dxa"/>
            </w:tcMar>
            <w:hideMark/>
          </w:tcPr>
          <w:p w14:paraId="7AA3794C"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AKE 1.1</w:t>
            </w:r>
          </w:p>
        </w:tc>
        <w:tc>
          <w:tcPr>
            <w:tcW w:w="5000" w:type="pct"/>
            <w:tcMar>
              <w:top w:w="96" w:type="dxa"/>
              <w:left w:w="0" w:type="dxa"/>
              <w:bottom w:w="0" w:type="dxa"/>
              <w:right w:w="360" w:type="dxa"/>
            </w:tcMar>
            <w:hideMark/>
          </w:tcPr>
          <w:p w14:paraId="5627215B" w14:textId="77777777" w:rsid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191792">
              <w:rPr>
                <w:rFonts w:ascii="Times New Roman" w:eastAsia="Times New Roman" w:hAnsi="Times New Roman" w:cs="Times New Roman"/>
                <w:b/>
                <w:bCs/>
                <w:kern w:val="0"/>
                <w:sz w:val="24"/>
                <w:szCs w:val="24"/>
                <w:lang w:eastAsia="de-DE"/>
                <w14:ligatures w14:val="none"/>
              </w:rPr>
              <w:t>Hauptvortrag</w:t>
            </w:r>
            <w:r w:rsidRPr="003D3AE7">
              <w:rPr>
                <w:rFonts w:ascii="Times New Roman" w:eastAsia="Times New Roman" w:hAnsi="Times New Roman" w:cs="Times New Roman"/>
                <w:kern w:val="0"/>
                <w:sz w:val="24"/>
                <w:szCs w:val="24"/>
                <w:lang w:eastAsia="de-DE"/>
                <w14:ligatures w14:val="none"/>
              </w:rPr>
              <w:t>:</w:t>
            </w:r>
          </w:p>
          <w:p w14:paraId="6C7145B4" w14:textId="219116DF"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 </w:t>
            </w:r>
            <w:hyperlink r:id="rId14" w:history="1">
              <w:r w:rsidRPr="003D3AE7">
                <w:rPr>
                  <w:rFonts w:ascii="Times New Roman" w:eastAsia="Times New Roman" w:hAnsi="Times New Roman" w:cs="Times New Roman"/>
                  <w:color w:val="363B90"/>
                  <w:kern w:val="0"/>
                  <w:sz w:val="24"/>
                  <w:szCs w:val="24"/>
                  <w:u w:val="single"/>
                  <w:lang w:eastAsia="de-DE"/>
                  <w14:ligatures w14:val="none"/>
                </w:rPr>
                <w:t>Unser Energiesystem der Zukunft: Neue Hoffnung für den Klimaschutz</w:t>
              </w:r>
            </w:hyperlink>
            <w:r w:rsidRPr="003D3AE7">
              <w:rPr>
                <w:rFonts w:ascii="Times New Roman" w:eastAsia="Times New Roman" w:hAnsi="Times New Roman" w:cs="Times New Roman"/>
                <w:kern w:val="0"/>
                <w:sz w:val="24"/>
                <w:szCs w:val="24"/>
                <w:lang w:eastAsia="de-DE"/>
                <w14:ligatures w14:val="none"/>
              </w:rPr>
              <w:t> — •</w:t>
            </w:r>
            <w:r w:rsidRPr="003D3AE7">
              <w:rPr>
                <w:rFonts w:ascii="Times New Roman" w:eastAsia="Times New Roman" w:hAnsi="Times New Roman" w:cs="Times New Roman"/>
                <w:smallCaps/>
                <w:kern w:val="0"/>
                <w:sz w:val="24"/>
                <w:szCs w:val="24"/>
                <w:lang w:eastAsia="de-DE"/>
                <w14:ligatures w14:val="none"/>
              </w:rPr>
              <w:t>Wolfgang Eberhardt</w:t>
            </w:r>
          </w:p>
        </w:tc>
      </w:tr>
      <w:tr w:rsidR="003D3AE7" w:rsidRPr="003D3AE7" w14:paraId="0B1EF8F3" w14:textId="77777777" w:rsidTr="003D3AE7">
        <w:trPr>
          <w:tblCellSpacing w:w="15" w:type="dxa"/>
        </w:trPr>
        <w:tc>
          <w:tcPr>
            <w:tcW w:w="0" w:type="auto"/>
            <w:tcMar>
              <w:top w:w="96" w:type="dxa"/>
              <w:left w:w="0" w:type="dxa"/>
              <w:bottom w:w="0" w:type="dxa"/>
              <w:right w:w="360" w:type="dxa"/>
            </w:tcMar>
            <w:hideMark/>
          </w:tcPr>
          <w:p w14:paraId="24715E25"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p>
        </w:tc>
        <w:tc>
          <w:tcPr>
            <w:tcW w:w="0" w:type="auto"/>
            <w:gridSpan w:val="3"/>
            <w:tcMar>
              <w:top w:w="96" w:type="dxa"/>
              <w:left w:w="0" w:type="dxa"/>
              <w:bottom w:w="0" w:type="dxa"/>
              <w:right w:w="360" w:type="dxa"/>
            </w:tcMar>
            <w:hideMark/>
          </w:tcPr>
          <w:p w14:paraId="2C3573D4" w14:textId="77777777" w:rsidR="003D3AE7" w:rsidRPr="003D3AE7" w:rsidRDefault="003D3AE7" w:rsidP="003D3AE7">
            <w:pPr>
              <w:pBdr>
                <w:bottom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Formularbeginn</w:t>
            </w:r>
          </w:p>
          <w:p w14:paraId="125398A1" w14:textId="77777777" w:rsidR="003D3AE7" w:rsidRPr="003D3AE7" w:rsidRDefault="003D3AE7" w:rsidP="003D3AE7">
            <w:pPr>
              <w:pBdr>
                <w:top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Formularende</w:t>
            </w:r>
          </w:p>
          <w:p w14:paraId="2C13248B"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b/>
                <w:bCs/>
                <w:kern w:val="0"/>
                <w:sz w:val="24"/>
                <w:szCs w:val="24"/>
                <w:lang w:eastAsia="de-DE"/>
                <w14:ligatures w14:val="none"/>
              </w:rPr>
              <w:t>Unser Energiesystem der Zukunft: Neue Hoffnung für den Klimaschutz</w:t>
            </w:r>
            <w:r w:rsidRPr="003D3AE7">
              <w:rPr>
                <w:rFonts w:ascii="Times New Roman" w:eastAsia="Times New Roman" w:hAnsi="Times New Roman" w:cs="Times New Roman"/>
                <w:kern w:val="0"/>
                <w:sz w:val="24"/>
                <w:szCs w:val="24"/>
                <w:lang w:eastAsia="de-DE"/>
                <w14:ligatures w14:val="none"/>
              </w:rPr>
              <w:t> — •</w:t>
            </w:r>
            <w:r w:rsidRPr="003D3AE7">
              <w:rPr>
                <w:rFonts w:ascii="Times New Roman" w:eastAsia="Times New Roman" w:hAnsi="Times New Roman" w:cs="Times New Roman"/>
                <w:smallCaps/>
                <w:kern w:val="0"/>
                <w:sz w:val="24"/>
                <w:szCs w:val="24"/>
                <w:lang w:eastAsia="de-DE"/>
                <w14:ligatures w14:val="none"/>
              </w:rPr>
              <w:t>Wolfgang Eberhardt</w:t>
            </w:r>
            <w:r w:rsidRPr="003D3AE7">
              <w:rPr>
                <w:rFonts w:ascii="Times New Roman" w:eastAsia="Times New Roman" w:hAnsi="Times New Roman" w:cs="Times New Roman"/>
                <w:kern w:val="0"/>
                <w:sz w:val="24"/>
                <w:szCs w:val="24"/>
                <w:lang w:eastAsia="de-DE"/>
                <w14:ligatures w14:val="none"/>
              </w:rPr>
              <w:t xml:space="preserve"> — DESY, </w:t>
            </w:r>
            <w:proofErr w:type="spellStart"/>
            <w:r w:rsidRPr="003D3AE7">
              <w:rPr>
                <w:rFonts w:ascii="Times New Roman" w:eastAsia="Times New Roman" w:hAnsi="Times New Roman" w:cs="Times New Roman"/>
                <w:kern w:val="0"/>
                <w:sz w:val="24"/>
                <w:szCs w:val="24"/>
                <w:lang w:eastAsia="de-DE"/>
                <w14:ligatures w14:val="none"/>
              </w:rPr>
              <w:t>Notkestr</w:t>
            </w:r>
            <w:proofErr w:type="spellEnd"/>
            <w:r w:rsidRPr="003D3AE7">
              <w:rPr>
                <w:rFonts w:ascii="Times New Roman" w:eastAsia="Times New Roman" w:hAnsi="Times New Roman" w:cs="Times New Roman"/>
                <w:kern w:val="0"/>
                <w:sz w:val="24"/>
                <w:szCs w:val="24"/>
                <w:lang w:eastAsia="de-DE"/>
                <w14:ligatures w14:val="none"/>
              </w:rPr>
              <w:t>. 85, 22607 Hamburg</w:t>
            </w:r>
          </w:p>
          <w:p w14:paraId="756DA9FB"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 xml:space="preserve">Seit der überwältigenden Zustimmung zum Pariser Klima-Abkommens besteht allgemeiner Konsens darüber, dass unser Energiesystem von der derzeitigen Basis fossiler Brennstoffe zu einem nachhaltigeren System auf Basis erneuerbarer Energien geändert werden muss. Politiker überbieten sich schnell mit Versprechen, die CO2- Emissionen zu reduzieren, ohne anzugeben, wie dies erreicht werden soll. Es ist jedoch ein Energiesystem möglich, das weitgehend auf erneuerbaren Energien und Strom basiert, ein System, das die Auswirkungen des Klimawandels umkehrt, Gesundheitsbelastungen durch Umweltverschmutzung beseitigt und dennoch den Anforderungen an Verkehr, Industrie und Gebäude in der </w:t>
            </w:r>
            <w:r w:rsidRPr="003D3AE7">
              <w:rPr>
                <w:rFonts w:ascii="Times New Roman" w:eastAsia="Times New Roman" w:hAnsi="Times New Roman" w:cs="Times New Roman"/>
                <w:kern w:val="0"/>
                <w:sz w:val="24"/>
                <w:szCs w:val="24"/>
                <w:lang w:eastAsia="de-DE"/>
                <w14:ligatures w14:val="none"/>
              </w:rPr>
              <w:lastRenderedPageBreak/>
              <w:t xml:space="preserve">Gesellschaft der Zukunft trotz der weltweit wachsenden Bevölkerung gerecht wird, erschwinglich ist und wirtschaftliches Wachstum ermöglicht. Es wird gezeigt, wie dies bis 2050 erreicht werden </w:t>
            </w:r>
            <w:proofErr w:type="spellStart"/>
            <w:r w:rsidRPr="003D3AE7">
              <w:rPr>
                <w:rFonts w:ascii="Times New Roman" w:eastAsia="Times New Roman" w:hAnsi="Times New Roman" w:cs="Times New Roman"/>
                <w:kern w:val="0"/>
                <w:sz w:val="24"/>
                <w:szCs w:val="24"/>
                <w:lang w:eastAsia="de-DE"/>
                <w14:ligatures w14:val="none"/>
              </w:rPr>
              <w:t>kann.Es</w:t>
            </w:r>
            <w:proofErr w:type="spellEnd"/>
            <w:r w:rsidRPr="003D3AE7">
              <w:rPr>
                <w:rFonts w:ascii="Times New Roman" w:eastAsia="Times New Roman" w:hAnsi="Times New Roman" w:cs="Times New Roman"/>
                <w:kern w:val="0"/>
                <w:sz w:val="24"/>
                <w:szCs w:val="24"/>
                <w:lang w:eastAsia="de-DE"/>
                <w14:ligatures w14:val="none"/>
              </w:rPr>
              <w:t xml:space="preserve"> beruht im </w:t>
            </w:r>
            <w:proofErr w:type="gramStart"/>
            <w:r w:rsidRPr="003D3AE7">
              <w:rPr>
                <w:rFonts w:ascii="Times New Roman" w:eastAsia="Times New Roman" w:hAnsi="Times New Roman" w:cs="Times New Roman"/>
                <w:kern w:val="0"/>
                <w:sz w:val="24"/>
                <w:szCs w:val="24"/>
                <w:lang w:eastAsia="de-DE"/>
                <w14:ligatures w14:val="none"/>
              </w:rPr>
              <w:t>wesentlichen</w:t>
            </w:r>
            <w:proofErr w:type="gramEnd"/>
            <w:r w:rsidRPr="003D3AE7">
              <w:rPr>
                <w:rFonts w:ascii="Times New Roman" w:eastAsia="Times New Roman" w:hAnsi="Times New Roman" w:cs="Times New Roman"/>
                <w:kern w:val="0"/>
                <w:sz w:val="24"/>
                <w:szCs w:val="24"/>
                <w:lang w:eastAsia="de-DE"/>
                <w14:ligatures w14:val="none"/>
              </w:rPr>
              <w:t xml:space="preserve"> darauf, </w:t>
            </w:r>
            <w:proofErr w:type="spellStart"/>
            <w:r w:rsidRPr="003D3AE7">
              <w:rPr>
                <w:rFonts w:ascii="Times New Roman" w:eastAsia="Times New Roman" w:hAnsi="Times New Roman" w:cs="Times New Roman"/>
                <w:kern w:val="0"/>
                <w:sz w:val="24"/>
                <w:szCs w:val="24"/>
                <w:lang w:eastAsia="de-DE"/>
                <w14:ligatures w14:val="none"/>
              </w:rPr>
              <w:t>daß</w:t>
            </w:r>
            <w:proofErr w:type="spellEnd"/>
            <w:r w:rsidRPr="003D3AE7">
              <w:rPr>
                <w:rFonts w:ascii="Times New Roman" w:eastAsia="Times New Roman" w:hAnsi="Times New Roman" w:cs="Times New Roman"/>
                <w:kern w:val="0"/>
                <w:sz w:val="24"/>
                <w:szCs w:val="24"/>
                <w:lang w:eastAsia="de-DE"/>
                <w14:ligatures w14:val="none"/>
              </w:rPr>
              <w:t xml:space="preserve"> der CO2 Gehalt der Atmosphäre zurück geht, sobald etwa 50% der heutigen CO2 Emissionen eingespart werden wenn wir die natürlichen Senken in Pflanzen und Ozeanen korrekt in die Modelle einbeziehen.</w:t>
            </w:r>
          </w:p>
        </w:tc>
      </w:tr>
      <w:tr w:rsidR="003D3AE7" w:rsidRPr="003C1CAD" w14:paraId="1567C7D1" w14:textId="77777777" w:rsidTr="003D3AE7">
        <w:trPr>
          <w:tblCellSpacing w:w="15" w:type="dxa"/>
        </w:trPr>
        <w:tc>
          <w:tcPr>
            <w:tcW w:w="0" w:type="auto"/>
            <w:tcMar>
              <w:top w:w="96" w:type="dxa"/>
              <w:left w:w="0" w:type="dxa"/>
              <w:bottom w:w="0" w:type="dxa"/>
              <w:right w:w="360" w:type="dxa"/>
            </w:tcMar>
            <w:hideMark/>
          </w:tcPr>
          <w:p w14:paraId="3E413202"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noProof/>
                <w:color w:val="363B90"/>
                <w:kern w:val="0"/>
                <w:sz w:val="24"/>
                <w:szCs w:val="24"/>
                <w:lang w:eastAsia="de-DE"/>
                <w14:ligatures w14:val="none"/>
              </w:rPr>
              <w:lastRenderedPageBreak/>
              <w:drawing>
                <wp:inline distT="0" distB="0" distL="0" distR="0" wp14:anchorId="251CAF34" wp14:editId="587A17BC">
                  <wp:extent cx="152400" cy="152400"/>
                  <wp:effectExtent l="0" t="0" r="0" b="0"/>
                  <wp:docPr id="4" name="Bild 4" descr="Ein Bild, das Kreis, Symbol, Logo,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Kreis, Symbol, Logo, Design enthält.&#10;&#10;Automatisch generierte Beschreibung">
                            <a:hlinkClick r:id="rId15"/>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66284540"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15:30</w:t>
            </w:r>
          </w:p>
        </w:tc>
        <w:tc>
          <w:tcPr>
            <w:tcW w:w="0" w:type="auto"/>
            <w:noWrap/>
            <w:tcMar>
              <w:top w:w="96" w:type="dxa"/>
              <w:left w:w="0" w:type="dxa"/>
              <w:bottom w:w="0" w:type="dxa"/>
              <w:right w:w="360" w:type="dxa"/>
            </w:tcMar>
            <w:hideMark/>
          </w:tcPr>
          <w:p w14:paraId="31F58FE1"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AKE 1.2</w:t>
            </w:r>
          </w:p>
        </w:tc>
        <w:tc>
          <w:tcPr>
            <w:tcW w:w="5000" w:type="pct"/>
            <w:tcMar>
              <w:top w:w="96" w:type="dxa"/>
              <w:left w:w="0" w:type="dxa"/>
              <w:bottom w:w="0" w:type="dxa"/>
              <w:right w:w="360" w:type="dxa"/>
            </w:tcMar>
            <w:hideMark/>
          </w:tcPr>
          <w:p w14:paraId="349D663B" w14:textId="77777777" w:rsidR="003D3AE7" w:rsidRPr="003D3AE7" w:rsidRDefault="00000000" w:rsidP="003D3AE7">
            <w:pPr>
              <w:spacing w:after="0" w:line="240" w:lineRule="auto"/>
              <w:rPr>
                <w:rFonts w:ascii="Times New Roman" w:eastAsia="Times New Roman" w:hAnsi="Times New Roman" w:cs="Times New Roman"/>
                <w:kern w:val="0"/>
                <w:sz w:val="24"/>
                <w:szCs w:val="24"/>
                <w:lang w:val="en-US" w:eastAsia="de-DE"/>
                <w14:ligatures w14:val="none"/>
              </w:rPr>
            </w:pPr>
            <w:hyperlink r:id="rId16" w:history="1">
              <w:r w:rsidR="003D3AE7" w:rsidRPr="003D3AE7">
                <w:rPr>
                  <w:rFonts w:ascii="Times New Roman" w:eastAsia="Times New Roman" w:hAnsi="Times New Roman" w:cs="Times New Roman"/>
                  <w:color w:val="363B90"/>
                  <w:kern w:val="0"/>
                  <w:sz w:val="24"/>
                  <w:szCs w:val="24"/>
                  <w:u w:val="single"/>
                  <w:lang w:val="en-US" w:eastAsia="de-DE"/>
                  <w14:ligatures w14:val="none"/>
                </w:rPr>
                <w:t xml:space="preserve">Numerical simulations of the </w:t>
              </w:r>
              <w:proofErr w:type="gramStart"/>
              <w:r w:rsidR="003D3AE7" w:rsidRPr="003D3AE7">
                <w:rPr>
                  <w:rFonts w:ascii="Times New Roman" w:eastAsia="Times New Roman" w:hAnsi="Times New Roman" w:cs="Times New Roman"/>
                  <w:color w:val="363B90"/>
                  <w:kern w:val="0"/>
                  <w:sz w:val="24"/>
                  <w:szCs w:val="24"/>
                  <w:u w:val="single"/>
                  <w:lang w:val="en-US" w:eastAsia="de-DE"/>
                  <w14:ligatures w14:val="none"/>
                </w:rPr>
                <w:t>screen printing</w:t>
              </w:r>
              <w:proofErr w:type="gramEnd"/>
              <w:r w:rsidR="003D3AE7" w:rsidRPr="003D3AE7">
                <w:rPr>
                  <w:rFonts w:ascii="Times New Roman" w:eastAsia="Times New Roman" w:hAnsi="Times New Roman" w:cs="Times New Roman"/>
                  <w:color w:val="363B90"/>
                  <w:kern w:val="0"/>
                  <w:sz w:val="24"/>
                  <w:szCs w:val="24"/>
                  <w:u w:val="single"/>
                  <w:lang w:val="en-US" w:eastAsia="de-DE"/>
                  <w14:ligatures w14:val="none"/>
                </w:rPr>
                <w:t xml:space="preserve"> process for solar cell metallization</w:t>
              </w:r>
            </w:hyperlink>
            <w:r w:rsidR="003D3AE7" w:rsidRPr="003D3AE7">
              <w:rPr>
                <w:rFonts w:ascii="Times New Roman" w:eastAsia="Times New Roman" w:hAnsi="Times New Roman" w:cs="Times New Roman"/>
                <w:kern w:val="0"/>
                <w:sz w:val="24"/>
                <w:szCs w:val="24"/>
                <w:lang w:val="en-US" w:eastAsia="de-DE"/>
                <w14:ligatures w14:val="none"/>
              </w:rPr>
              <w:t> — •</w:t>
            </w:r>
            <w:r w:rsidR="003D3AE7" w:rsidRPr="003D3AE7">
              <w:rPr>
                <w:rFonts w:ascii="Times New Roman" w:eastAsia="Times New Roman" w:hAnsi="Times New Roman" w:cs="Times New Roman"/>
                <w:smallCaps/>
                <w:kern w:val="0"/>
                <w:sz w:val="24"/>
                <w:szCs w:val="24"/>
                <w:lang w:val="en-US" w:eastAsia="de-DE"/>
                <w14:ligatures w14:val="none"/>
              </w:rPr>
              <w:t>Tom Hoger</w:t>
            </w:r>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Marius Singler</w:t>
            </w:r>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Andreas Lorenz</w:t>
            </w:r>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Florian Clement</w:t>
            </w:r>
            <w:r w:rsidR="003D3AE7" w:rsidRPr="003D3AE7">
              <w:rPr>
                <w:rFonts w:ascii="Times New Roman" w:eastAsia="Times New Roman" w:hAnsi="Times New Roman" w:cs="Times New Roman"/>
                <w:kern w:val="0"/>
                <w:sz w:val="24"/>
                <w:szCs w:val="24"/>
                <w:lang w:val="en-US" w:eastAsia="de-DE"/>
                <w14:ligatures w14:val="none"/>
              </w:rPr>
              <w:t>, and </w:t>
            </w:r>
            <w:r w:rsidR="003D3AE7" w:rsidRPr="003D3AE7">
              <w:rPr>
                <w:rFonts w:ascii="Times New Roman" w:eastAsia="Times New Roman" w:hAnsi="Times New Roman" w:cs="Times New Roman"/>
                <w:smallCaps/>
                <w:kern w:val="0"/>
                <w:sz w:val="24"/>
                <w:szCs w:val="24"/>
                <w:lang w:val="en-US" w:eastAsia="de-DE"/>
                <w14:ligatures w14:val="none"/>
              </w:rPr>
              <w:t>Andreas Bett</w:t>
            </w:r>
          </w:p>
        </w:tc>
      </w:tr>
      <w:tr w:rsidR="003D3AE7" w:rsidRPr="003C1CAD" w14:paraId="4DA32323" w14:textId="77777777" w:rsidTr="003D3AE7">
        <w:trPr>
          <w:tblCellSpacing w:w="15" w:type="dxa"/>
        </w:trPr>
        <w:tc>
          <w:tcPr>
            <w:tcW w:w="0" w:type="auto"/>
            <w:tcMar>
              <w:top w:w="96" w:type="dxa"/>
              <w:left w:w="0" w:type="dxa"/>
              <w:bottom w:w="0" w:type="dxa"/>
              <w:right w:w="360" w:type="dxa"/>
            </w:tcMar>
            <w:hideMark/>
          </w:tcPr>
          <w:p w14:paraId="4969635C" w14:textId="77777777" w:rsidR="003D3AE7" w:rsidRPr="003D3AE7" w:rsidRDefault="003D3AE7" w:rsidP="003D3AE7">
            <w:pPr>
              <w:spacing w:after="0" w:line="240" w:lineRule="auto"/>
              <w:rPr>
                <w:rFonts w:ascii="Times New Roman" w:eastAsia="Times New Roman" w:hAnsi="Times New Roman" w:cs="Times New Roman"/>
                <w:kern w:val="0"/>
                <w:sz w:val="24"/>
                <w:szCs w:val="24"/>
                <w:lang w:val="en-US" w:eastAsia="de-DE"/>
                <w14:ligatures w14:val="none"/>
              </w:rPr>
            </w:pPr>
          </w:p>
        </w:tc>
        <w:tc>
          <w:tcPr>
            <w:tcW w:w="0" w:type="auto"/>
            <w:gridSpan w:val="3"/>
            <w:tcMar>
              <w:top w:w="96" w:type="dxa"/>
              <w:left w:w="0" w:type="dxa"/>
              <w:bottom w:w="0" w:type="dxa"/>
              <w:right w:w="360" w:type="dxa"/>
            </w:tcMar>
            <w:hideMark/>
          </w:tcPr>
          <w:p w14:paraId="6B15905E" w14:textId="77777777" w:rsidR="003D3AE7" w:rsidRPr="00191792" w:rsidRDefault="003D3AE7" w:rsidP="003D3AE7">
            <w:pPr>
              <w:pBdr>
                <w:bottom w:val="single" w:sz="6" w:space="1" w:color="auto"/>
              </w:pBdr>
              <w:spacing w:after="0" w:line="240" w:lineRule="auto"/>
              <w:jc w:val="center"/>
              <w:rPr>
                <w:rFonts w:eastAsia="Times New Roman" w:cs="Arial"/>
                <w:vanish/>
                <w:kern w:val="0"/>
                <w:sz w:val="16"/>
                <w:szCs w:val="16"/>
                <w:lang w:val="en-US" w:eastAsia="de-DE"/>
                <w14:ligatures w14:val="none"/>
              </w:rPr>
            </w:pPr>
            <w:r w:rsidRPr="00191792">
              <w:rPr>
                <w:rFonts w:eastAsia="Times New Roman" w:cs="Arial"/>
                <w:vanish/>
                <w:kern w:val="0"/>
                <w:sz w:val="16"/>
                <w:szCs w:val="16"/>
                <w:lang w:val="en-US" w:eastAsia="de-DE"/>
                <w14:ligatures w14:val="none"/>
              </w:rPr>
              <w:t>Formularbeginn</w:t>
            </w:r>
          </w:p>
          <w:p w14:paraId="675C890F" w14:textId="6B588D34" w:rsidR="003D3AE7" w:rsidRPr="003D3AE7" w:rsidRDefault="003D3AE7" w:rsidP="003D3AE7">
            <w:pPr>
              <w:spacing w:before="100" w:beforeAutospacing="1" w:after="100" w:afterAutospacing="1" w:line="240" w:lineRule="auto"/>
              <w:ind w:left="49"/>
              <w:rPr>
                <w:rFonts w:eastAsia="Times New Roman" w:cs="Arial"/>
                <w:vanish/>
                <w:kern w:val="0"/>
                <w:sz w:val="16"/>
                <w:szCs w:val="16"/>
                <w:lang w:val="en-US" w:eastAsia="de-DE"/>
                <w14:ligatures w14:val="none"/>
              </w:rPr>
            </w:pPr>
            <w:r w:rsidRPr="003D3AE7">
              <w:rPr>
                <w:rFonts w:ascii="Times New Roman" w:eastAsia="Times New Roman" w:hAnsi="Times New Roman" w:cs="Times New Roman"/>
                <w:kern w:val="0"/>
                <w:sz w:val="24"/>
                <w:szCs w:val="24"/>
                <w:lang w:val="en-US" w:eastAsia="de-DE"/>
                <w14:ligatures w14:val="none"/>
              </w:rPr>
              <w:t> </w:t>
            </w:r>
            <w:r w:rsidRPr="003D3AE7">
              <w:rPr>
                <w:rFonts w:eastAsia="Times New Roman" w:cs="Arial"/>
                <w:vanish/>
                <w:kern w:val="0"/>
                <w:sz w:val="16"/>
                <w:szCs w:val="16"/>
                <w:lang w:val="en-US" w:eastAsia="de-DE"/>
                <w14:ligatures w14:val="none"/>
              </w:rPr>
              <w:t>Formularende</w:t>
            </w:r>
          </w:p>
          <w:p w14:paraId="6402FBE2"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b/>
                <w:bCs/>
                <w:kern w:val="0"/>
                <w:sz w:val="24"/>
                <w:szCs w:val="24"/>
                <w:lang w:val="en-US" w:eastAsia="de-DE"/>
                <w14:ligatures w14:val="none"/>
              </w:rPr>
              <w:t xml:space="preserve">Numerical simulations of the </w:t>
            </w:r>
            <w:proofErr w:type="gramStart"/>
            <w:r w:rsidRPr="003D3AE7">
              <w:rPr>
                <w:rFonts w:ascii="Times New Roman" w:eastAsia="Times New Roman" w:hAnsi="Times New Roman" w:cs="Times New Roman"/>
                <w:b/>
                <w:bCs/>
                <w:kern w:val="0"/>
                <w:sz w:val="24"/>
                <w:szCs w:val="24"/>
                <w:lang w:val="en-US" w:eastAsia="de-DE"/>
                <w14:ligatures w14:val="none"/>
              </w:rPr>
              <w:t>screen printing</w:t>
            </w:r>
            <w:proofErr w:type="gramEnd"/>
            <w:r w:rsidRPr="003D3AE7">
              <w:rPr>
                <w:rFonts w:ascii="Times New Roman" w:eastAsia="Times New Roman" w:hAnsi="Times New Roman" w:cs="Times New Roman"/>
                <w:b/>
                <w:bCs/>
                <w:kern w:val="0"/>
                <w:sz w:val="24"/>
                <w:szCs w:val="24"/>
                <w:lang w:val="en-US" w:eastAsia="de-DE"/>
                <w14:ligatures w14:val="none"/>
              </w:rPr>
              <w:t xml:space="preserve"> process for solar cell metallization</w:t>
            </w:r>
            <w:r w:rsidRPr="003D3AE7">
              <w:rPr>
                <w:rFonts w:ascii="Times New Roman" w:eastAsia="Times New Roman" w:hAnsi="Times New Roman" w:cs="Times New Roman"/>
                <w:kern w:val="0"/>
                <w:sz w:val="24"/>
                <w:szCs w:val="24"/>
                <w:lang w:val="en-US" w:eastAsia="de-DE"/>
                <w14:ligatures w14:val="none"/>
              </w:rPr>
              <w:t> — •</w:t>
            </w:r>
            <w:r w:rsidRPr="003D3AE7">
              <w:rPr>
                <w:rFonts w:ascii="Times New Roman" w:eastAsia="Times New Roman" w:hAnsi="Times New Roman" w:cs="Times New Roman"/>
                <w:smallCaps/>
                <w:kern w:val="0"/>
                <w:sz w:val="24"/>
                <w:szCs w:val="24"/>
                <w:lang w:val="en-US" w:eastAsia="de-DE"/>
                <w14:ligatures w14:val="none"/>
              </w:rPr>
              <w:t>Tom Hoger</w:t>
            </w:r>
            <w:r w:rsidRPr="003D3AE7">
              <w:rPr>
                <w:rFonts w:ascii="Times New Roman" w:eastAsia="Times New Roman" w:hAnsi="Times New Roman" w:cs="Times New Roman"/>
                <w:kern w:val="0"/>
                <w:sz w:val="24"/>
                <w:szCs w:val="24"/>
                <w:lang w:val="en-US" w:eastAsia="de-DE"/>
                <w14:ligatures w14:val="none"/>
              </w:rPr>
              <w:t>, </w:t>
            </w:r>
            <w:r w:rsidRPr="003D3AE7">
              <w:rPr>
                <w:rFonts w:ascii="Times New Roman" w:eastAsia="Times New Roman" w:hAnsi="Times New Roman" w:cs="Times New Roman"/>
                <w:smallCaps/>
                <w:kern w:val="0"/>
                <w:sz w:val="24"/>
                <w:szCs w:val="24"/>
                <w:lang w:val="en-US" w:eastAsia="de-DE"/>
                <w14:ligatures w14:val="none"/>
              </w:rPr>
              <w:t>Marius Singler</w:t>
            </w:r>
            <w:r w:rsidRPr="003D3AE7">
              <w:rPr>
                <w:rFonts w:ascii="Times New Roman" w:eastAsia="Times New Roman" w:hAnsi="Times New Roman" w:cs="Times New Roman"/>
                <w:kern w:val="0"/>
                <w:sz w:val="24"/>
                <w:szCs w:val="24"/>
                <w:lang w:val="en-US" w:eastAsia="de-DE"/>
                <w14:ligatures w14:val="none"/>
              </w:rPr>
              <w:t>, </w:t>
            </w:r>
            <w:r w:rsidRPr="003D3AE7">
              <w:rPr>
                <w:rFonts w:ascii="Times New Roman" w:eastAsia="Times New Roman" w:hAnsi="Times New Roman" w:cs="Times New Roman"/>
                <w:smallCaps/>
                <w:kern w:val="0"/>
                <w:sz w:val="24"/>
                <w:szCs w:val="24"/>
                <w:lang w:val="en-US" w:eastAsia="de-DE"/>
                <w14:ligatures w14:val="none"/>
              </w:rPr>
              <w:t>Andreas Lorenz</w:t>
            </w:r>
            <w:r w:rsidRPr="003D3AE7">
              <w:rPr>
                <w:rFonts w:ascii="Times New Roman" w:eastAsia="Times New Roman" w:hAnsi="Times New Roman" w:cs="Times New Roman"/>
                <w:kern w:val="0"/>
                <w:sz w:val="24"/>
                <w:szCs w:val="24"/>
                <w:lang w:val="en-US" w:eastAsia="de-DE"/>
                <w14:ligatures w14:val="none"/>
              </w:rPr>
              <w:t>, </w:t>
            </w:r>
            <w:r w:rsidRPr="003D3AE7">
              <w:rPr>
                <w:rFonts w:ascii="Times New Roman" w:eastAsia="Times New Roman" w:hAnsi="Times New Roman" w:cs="Times New Roman"/>
                <w:smallCaps/>
                <w:kern w:val="0"/>
                <w:sz w:val="24"/>
                <w:szCs w:val="24"/>
                <w:lang w:val="en-US" w:eastAsia="de-DE"/>
                <w14:ligatures w14:val="none"/>
              </w:rPr>
              <w:t>Florian Clement</w:t>
            </w:r>
            <w:r w:rsidRPr="003D3AE7">
              <w:rPr>
                <w:rFonts w:ascii="Times New Roman" w:eastAsia="Times New Roman" w:hAnsi="Times New Roman" w:cs="Times New Roman"/>
                <w:kern w:val="0"/>
                <w:sz w:val="24"/>
                <w:szCs w:val="24"/>
                <w:lang w:val="en-US" w:eastAsia="de-DE"/>
                <w14:ligatures w14:val="none"/>
              </w:rPr>
              <w:t>, and </w:t>
            </w:r>
            <w:r w:rsidRPr="003D3AE7">
              <w:rPr>
                <w:rFonts w:ascii="Times New Roman" w:eastAsia="Times New Roman" w:hAnsi="Times New Roman" w:cs="Times New Roman"/>
                <w:smallCaps/>
                <w:kern w:val="0"/>
                <w:sz w:val="24"/>
                <w:szCs w:val="24"/>
                <w:lang w:val="en-US" w:eastAsia="de-DE"/>
                <w14:ligatures w14:val="none"/>
              </w:rPr>
              <w:t>Andreas Bett</w:t>
            </w:r>
            <w:r w:rsidRPr="003D3AE7">
              <w:rPr>
                <w:rFonts w:ascii="Times New Roman" w:eastAsia="Times New Roman" w:hAnsi="Times New Roman" w:cs="Times New Roman"/>
                <w:kern w:val="0"/>
                <w:sz w:val="24"/>
                <w:szCs w:val="24"/>
                <w:lang w:val="en-US" w:eastAsia="de-DE"/>
                <w14:ligatures w14:val="none"/>
              </w:rPr>
              <w:t xml:space="preserve"> — Fraunhofer ISE, Germany, Freiburg </w:t>
            </w:r>
            <w:proofErr w:type="spellStart"/>
            <w:r w:rsidRPr="003D3AE7">
              <w:rPr>
                <w:rFonts w:ascii="Times New Roman" w:eastAsia="Times New Roman" w:hAnsi="Times New Roman" w:cs="Times New Roman"/>
                <w:kern w:val="0"/>
                <w:sz w:val="24"/>
                <w:szCs w:val="24"/>
                <w:lang w:val="en-US" w:eastAsia="de-DE"/>
                <w14:ligatures w14:val="none"/>
              </w:rPr>
              <w:t>im</w:t>
            </w:r>
            <w:proofErr w:type="spellEnd"/>
            <w:r w:rsidRPr="003D3AE7">
              <w:rPr>
                <w:rFonts w:ascii="Times New Roman" w:eastAsia="Times New Roman" w:hAnsi="Times New Roman" w:cs="Times New Roman"/>
                <w:kern w:val="0"/>
                <w:sz w:val="24"/>
                <w:szCs w:val="24"/>
                <w:lang w:val="en-US" w:eastAsia="de-DE"/>
                <w14:ligatures w14:val="none"/>
              </w:rPr>
              <w:t xml:space="preserve"> Breisgau</w:t>
            </w:r>
          </w:p>
          <w:p w14:paraId="6185FB78"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kern w:val="0"/>
                <w:sz w:val="24"/>
                <w:szCs w:val="24"/>
                <w:lang w:val="en-US" w:eastAsia="de-DE"/>
                <w14:ligatures w14:val="none"/>
              </w:rPr>
              <w:t xml:space="preserve">The metallization of silicon wafers is an essential part of the production process for Si-solar cells. Due to its robust and </w:t>
            </w:r>
            <w:proofErr w:type="spellStart"/>
            <w:r w:rsidRPr="003D3AE7">
              <w:rPr>
                <w:rFonts w:ascii="Times New Roman" w:eastAsia="Times New Roman" w:hAnsi="Times New Roman" w:cs="Times New Roman"/>
                <w:kern w:val="0"/>
                <w:sz w:val="24"/>
                <w:szCs w:val="24"/>
                <w:lang w:val="en-US" w:eastAsia="de-DE"/>
                <w14:ligatures w14:val="none"/>
              </w:rPr>
              <w:t>costeffective</w:t>
            </w:r>
            <w:proofErr w:type="spellEnd"/>
            <w:r w:rsidRPr="003D3AE7">
              <w:rPr>
                <w:rFonts w:ascii="Times New Roman" w:eastAsia="Times New Roman" w:hAnsi="Times New Roman" w:cs="Times New Roman"/>
                <w:kern w:val="0"/>
                <w:sz w:val="24"/>
                <w:szCs w:val="24"/>
                <w:lang w:val="en-US" w:eastAsia="de-DE"/>
                <w14:ligatures w14:val="none"/>
              </w:rPr>
              <w:t xml:space="preserve"> production capability, flatbed screen printing is by far the most used metallization technology nowadays. </w:t>
            </w:r>
            <w:proofErr w:type="gramStart"/>
            <w:r w:rsidRPr="003D3AE7">
              <w:rPr>
                <w:rFonts w:ascii="Times New Roman" w:eastAsia="Times New Roman" w:hAnsi="Times New Roman" w:cs="Times New Roman"/>
                <w:kern w:val="0"/>
                <w:sz w:val="24"/>
                <w:szCs w:val="24"/>
                <w:lang w:val="en-US" w:eastAsia="de-DE"/>
                <w14:ligatures w14:val="none"/>
              </w:rPr>
              <w:t>In order to</w:t>
            </w:r>
            <w:proofErr w:type="gramEnd"/>
            <w:r w:rsidRPr="003D3AE7">
              <w:rPr>
                <w:rFonts w:ascii="Times New Roman" w:eastAsia="Times New Roman" w:hAnsi="Times New Roman" w:cs="Times New Roman"/>
                <w:kern w:val="0"/>
                <w:sz w:val="24"/>
                <w:szCs w:val="24"/>
                <w:lang w:val="en-US" w:eastAsia="de-DE"/>
                <w14:ligatures w14:val="none"/>
              </w:rPr>
              <w:t xml:space="preserve"> achieve maximum efficiency and optimum material usage, the parameters of the printing process must be adjusted to the print layout. The huge interdependent parameter space of flatbed screen printing makes it difficult to predict the optimal settings. To this day, these parameters are still chosen based on experience and by iterative manner until a satisfying print result is achieved.</w:t>
            </w:r>
          </w:p>
          <w:p w14:paraId="6C0D19C9"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kern w:val="0"/>
                <w:sz w:val="24"/>
                <w:szCs w:val="24"/>
                <w:lang w:val="en-US" w:eastAsia="de-DE"/>
                <w14:ligatures w14:val="none"/>
              </w:rPr>
              <w:t>Another approach to handle the complexity of choosing the correct parameters is the use of Computational Fluid Dynamics (</w:t>
            </w:r>
            <w:proofErr w:type="spellStart"/>
            <w:r w:rsidRPr="003D3AE7">
              <w:rPr>
                <w:rFonts w:ascii="Times New Roman" w:eastAsia="Times New Roman" w:hAnsi="Times New Roman" w:cs="Times New Roman"/>
                <w:kern w:val="0"/>
                <w:sz w:val="24"/>
                <w:szCs w:val="24"/>
                <w:lang w:val="en-US" w:eastAsia="de-DE"/>
                <w14:ligatures w14:val="none"/>
              </w:rPr>
              <w:t>CFD</w:t>
            </w:r>
            <w:proofErr w:type="spellEnd"/>
            <w:r w:rsidRPr="003D3AE7">
              <w:rPr>
                <w:rFonts w:ascii="Times New Roman" w:eastAsia="Times New Roman" w:hAnsi="Times New Roman" w:cs="Times New Roman"/>
                <w:kern w:val="0"/>
                <w:sz w:val="24"/>
                <w:szCs w:val="24"/>
                <w:lang w:val="en-US" w:eastAsia="de-DE"/>
                <w14:ligatures w14:val="none"/>
              </w:rPr>
              <w:t xml:space="preserve">) simulations. The successful setup of a </w:t>
            </w:r>
            <w:proofErr w:type="spellStart"/>
            <w:r w:rsidRPr="003D3AE7">
              <w:rPr>
                <w:rFonts w:ascii="Times New Roman" w:eastAsia="Times New Roman" w:hAnsi="Times New Roman" w:cs="Times New Roman"/>
                <w:kern w:val="0"/>
                <w:sz w:val="24"/>
                <w:szCs w:val="24"/>
                <w:lang w:val="en-US" w:eastAsia="de-DE"/>
                <w14:ligatures w14:val="none"/>
              </w:rPr>
              <w:t>CFD</w:t>
            </w:r>
            <w:proofErr w:type="spellEnd"/>
            <w:r w:rsidRPr="003D3AE7">
              <w:rPr>
                <w:rFonts w:ascii="Times New Roman" w:eastAsia="Times New Roman" w:hAnsi="Times New Roman" w:cs="Times New Roman"/>
                <w:kern w:val="0"/>
                <w:sz w:val="24"/>
                <w:szCs w:val="24"/>
                <w:lang w:val="en-US" w:eastAsia="de-DE"/>
                <w14:ligatures w14:val="none"/>
              </w:rPr>
              <w:t xml:space="preserve"> simulation could prevent cost-intensive iteration procedures and propose the right choice of parameters via numerical simulations. With the help of </w:t>
            </w:r>
            <w:proofErr w:type="spellStart"/>
            <w:r w:rsidRPr="003D3AE7">
              <w:rPr>
                <w:rFonts w:ascii="Times New Roman" w:eastAsia="Times New Roman" w:hAnsi="Times New Roman" w:cs="Times New Roman"/>
                <w:kern w:val="0"/>
                <w:sz w:val="24"/>
                <w:szCs w:val="24"/>
                <w:lang w:val="en-US" w:eastAsia="de-DE"/>
                <w14:ligatures w14:val="none"/>
              </w:rPr>
              <w:t>CFD</w:t>
            </w:r>
            <w:proofErr w:type="spellEnd"/>
            <w:r w:rsidRPr="003D3AE7">
              <w:rPr>
                <w:rFonts w:ascii="Times New Roman" w:eastAsia="Times New Roman" w:hAnsi="Times New Roman" w:cs="Times New Roman"/>
                <w:kern w:val="0"/>
                <w:sz w:val="24"/>
                <w:szCs w:val="24"/>
                <w:lang w:val="en-US" w:eastAsia="de-DE"/>
                <w14:ligatures w14:val="none"/>
              </w:rPr>
              <w:t xml:space="preserve"> simulations, the influence of structural changes in the screen on the flow of the shear-thinning paste is studied. Therefore, a model is built from scratch representing the different process steps of screen printing. </w:t>
            </w:r>
            <w:proofErr w:type="gramStart"/>
            <w:r w:rsidRPr="003D3AE7">
              <w:rPr>
                <w:rFonts w:ascii="Times New Roman" w:eastAsia="Times New Roman" w:hAnsi="Times New Roman" w:cs="Times New Roman"/>
                <w:kern w:val="0"/>
                <w:sz w:val="24"/>
                <w:szCs w:val="24"/>
                <w:lang w:val="en-US" w:eastAsia="de-DE"/>
                <w14:ligatures w14:val="none"/>
              </w:rPr>
              <w:t>Finally</w:t>
            </w:r>
            <w:proofErr w:type="gramEnd"/>
            <w:r w:rsidRPr="003D3AE7">
              <w:rPr>
                <w:rFonts w:ascii="Times New Roman" w:eastAsia="Times New Roman" w:hAnsi="Times New Roman" w:cs="Times New Roman"/>
                <w:kern w:val="0"/>
                <w:sz w:val="24"/>
                <w:szCs w:val="24"/>
                <w:lang w:val="en-US" w:eastAsia="de-DE"/>
                <w14:ligatures w14:val="none"/>
              </w:rPr>
              <w:t xml:space="preserve"> the results of different screen structures and paste models are compared and verified with experimental print results.</w:t>
            </w:r>
          </w:p>
        </w:tc>
      </w:tr>
      <w:tr w:rsidR="003D3AE7" w:rsidRPr="003C1CAD" w14:paraId="1B186A7A" w14:textId="77777777" w:rsidTr="003D3AE7">
        <w:trPr>
          <w:tblCellSpacing w:w="15" w:type="dxa"/>
        </w:trPr>
        <w:tc>
          <w:tcPr>
            <w:tcW w:w="0" w:type="auto"/>
            <w:tcMar>
              <w:top w:w="96" w:type="dxa"/>
              <w:left w:w="0" w:type="dxa"/>
              <w:bottom w:w="0" w:type="dxa"/>
              <w:right w:w="360" w:type="dxa"/>
            </w:tcMar>
            <w:hideMark/>
          </w:tcPr>
          <w:p w14:paraId="0687DDF2"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noProof/>
                <w:color w:val="363B90"/>
                <w:kern w:val="0"/>
                <w:sz w:val="24"/>
                <w:szCs w:val="24"/>
                <w:lang w:eastAsia="de-DE"/>
                <w14:ligatures w14:val="none"/>
              </w:rPr>
              <w:drawing>
                <wp:inline distT="0" distB="0" distL="0" distR="0" wp14:anchorId="3EF1A3AC" wp14:editId="5720D0CE">
                  <wp:extent cx="152400" cy="152400"/>
                  <wp:effectExtent l="0" t="0" r="0" b="0"/>
                  <wp:docPr id="6" name="Bild 6" descr="Ein Bild, das Kreis, Symbol, Logo, Desig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in Bild, das Kreis, Symbol, Logo, Design enthält.&#10;&#10;Automatisch generierte Beschreibung">
                            <a:hlinkClick r:id="rId17"/>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255A336E"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15:45</w:t>
            </w:r>
          </w:p>
        </w:tc>
        <w:tc>
          <w:tcPr>
            <w:tcW w:w="0" w:type="auto"/>
            <w:noWrap/>
            <w:tcMar>
              <w:top w:w="96" w:type="dxa"/>
              <w:left w:w="0" w:type="dxa"/>
              <w:bottom w:w="0" w:type="dxa"/>
              <w:right w:w="360" w:type="dxa"/>
            </w:tcMar>
            <w:hideMark/>
          </w:tcPr>
          <w:p w14:paraId="1073C460"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AKE 1.3</w:t>
            </w:r>
          </w:p>
        </w:tc>
        <w:tc>
          <w:tcPr>
            <w:tcW w:w="5000" w:type="pct"/>
            <w:tcMar>
              <w:top w:w="96" w:type="dxa"/>
              <w:left w:w="0" w:type="dxa"/>
              <w:bottom w:w="0" w:type="dxa"/>
              <w:right w:w="360" w:type="dxa"/>
            </w:tcMar>
            <w:hideMark/>
          </w:tcPr>
          <w:p w14:paraId="4441604E" w14:textId="77777777" w:rsidR="003D3AE7" w:rsidRPr="003D3AE7" w:rsidRDefault="00000000" w:rsidP="003D3AE7">
            <w:pPr>
              <w:spacing w:after="0" w:line="240" w:lineRule="auto"/>
              <w:rPr>
                <w:rFonts w:ascii="Times New Roman" w:eastAsia="Times New Roman" w:hAnsi="Times New Roman" w:cs="Times New Roman"/>
                <w:kern w:val="0"/>
                <w:sz w:val="24"/>
                <w:szCs w:val="24"/>
                <w:lang w:val="en-US" w:eastAsia="de-DE"/>
                <w14:ligatures w14:val="none"/>
              </w:rPr>
            </w:pPr>
            <w:hyperlink r:id="rId18" w:history="1">
              <w:r w:rsidR="003D3AE7" w:rsidRPr="003D3AE7">
                <w:rPr>
                  <w:rFonts w:ascii="Times New Roman" w:eastAsia="Times New Roman" w:hAnsi="Times New Roman" w:cs="Times New Roman"/>
                  <w:color w:val="363B90"/>
                  <w:kern w:val="0"/>
                  <w:sz w:val="24"/>
                  <w:szCs w:val="24"/>
                  <w:u w:val="single"/>
                  <w:lang w:val="en-US" w:eastAsia="de-DE"/>
                  <w14:ligatures w14:val="none"/>
                </w:rPr>
                <w:t>Photovoltaic efficiency of transition metal dichalcogenides thin films by ab initio excited-state methods</w:t>
              </w:r>
            </w:hyperlink>
            <w:r w:rsidR="003D3AE7" w:rsidRPr="003D3AE7">
              <w:rPr>
                <w:rFonts w:ascii="Times New Roman" w:eastAsia="Times New Roman" w:hAnsi="Times New Roman" w:cs="Times New Roman"/>
                <w:kern w:val="0"/>
                <w:sz w:val="24"/>
                <w:szCs w:val="24"/>
                <w:lang w:val="en-US" w:eastAsia="de-DE"/>
                <w14:ligatures w14:val="none"/>
              </w:rPr>
              <w:t> — </w:t>
            </w:r>
            <w:proofErr w:type="spellStart"/>
            <w:r w:rsidR="003D3AE7" w:rsidRPr="003D3AE7">
              <w:rPr>
                <w:rFonts w:ascii="Times New Roman" w:eastAsia="Times New Roman" w:hAnsi="Times New Roman" w:cs="Times New Roman"/>
                <w:smallCaps/>
                <w:kern w:val="0"/>
                <w:sz w:val="24"/>
                <w:szCs w:val="24"/>
                <w:lang w:val="en-US" w:eastAsia="de-DE"/>
                <w14:ligatures w14:val="none"/>
              </w:rPr>
              <w:t>Enesio</w:t>
            </w:r>
            <w:proofErr w:type="spellEnd"/>
            <w:r w:rsidR="003D3AE7" w:rsidRPr="003D3AE7">
              <w:rPr>
                <w:rFonts w:ascii="Times New Roman" w:eastAsia="Times New Roman" w:hAnsi="Times New Roman" w:cs="Times New Roman"/>
                <w:smallCaps/>
                <w:kern w:val="0"/>
                <w:sz w:val="24"/>
                <w:szCs w:val="24"/>
                <w:lang w:val="en-US" w:eastAsia="de-DE"/>
                <w14:ligatures w14:val="none"/>
              </w:rPr>
              <w:t xml:space="preserve"> Marinho Jr</w:t>
            </w:r>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Cesar Villegas</w:t>
            </w:r>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Pedro Venezuela</w:t>
            </w:r>
            <w:r w:rsidR="003D3AE7" w:rsidRPr="003D3AE7">
              <w:rPr>
                <w:rFonts w:ascii="Times New Roman" w:eastAsia="Times New Roman" w:hAnsi="Times New Roman" w:cs="Times New Roman"/>
                <w:kern w:val="0"/>
                <w:sz w:val="24"/>
                <w:szCs w:val="24"/>
                <w:lang w:val="en-US" w:eastAsia="de-DE"/>
                <w14:ligatures w14:val="none"/>
              </w:rPr>
              <w:t>, and •</w:t>
            </w:r>
            <w:r w:rsidR="003D3AE7" w:rsidRPr="003D3AE7">
              <w:rPr>
                <w:rFonts w:ascii="Times New Roman" w:eastAsia="Times New Roman" w:hAnsi="Times New Roman" w:cs="Times New Roman"/>
                <w:smallCaps/>
                <w:kern w:val="0"/>
                <w:sz w:val="24"/>
                <w:szCs w:val="24"/>
                <w:lang w:val="en-US" w:eastAsia="de-DE"/>
                <w14:ligatures w14:val="none"/>
              </w:rPr>
              <w:t>Alexandre Rocha</w:t>
            </w:r>
          </w:p>
        </w:tc>
      </w:tr>
      <w:tr w:rsidR="003D3AE7" w:rsidRPr="003C1CAD" w14:paraId="501419EA" w14:textId="77777777" w:rsidTr="003D3AE7">
        <w:trPr>
          <w:tblCellSpacing w:w="15" w:type="dxa"/>
        </w:trPr>
        <w:tc>
          <w:tcPr>
            <w:tcW w:w="0" w:type="auto"/>
            <w:tcMar>
              <w:top w:w="96" w:type="dxa"/>
              <w:left w:w="0" w:type="dxa"/>
              <w:bottom w:w="0" w:type="dxa"/>
              <w:right w:w="360" w:type="dxa"/>
            </w:tcMar>
            <w:hideMark/>
          </w:tcPr>
          <w:p w14:paraId="12B99181" w14:textId="77777777" w:rsidR="003D3AE7" w:rsidRPr="003D3AE7" w:rsidRDefault="003D3AE7" w:rsidP="003D3AE7">
            <w:pPr>
              <w:spacing w:after="0" w:line="240" w:lineRule="auto"/>
              <w:rPr>
                <w:rFonts w:ascii="Times New Roman" w:eastAsia="Times New Roman" w:hAnsi="Times New Roman" w:cs="Times New Roman"/>
                <w:kern w:val="0"/>
                <w:sz w:val="24"/>
                <w:szCs w:val="24"/>
                <w:lang w:val="en-US" w:eastAsia="de-DE"/>
                <w14:ligatures w14:val="none"/>
              </w:rPr>
            </w:pPr>
          </w:p>
        </w:tc>
        <w:tc>
          <w:tcPr>
            <w:tcW w:w="0" w:type="auto"/>
            <w:gridSpan w:val="3"/>
            <w:tcMar>
              <w:top w:w="96" w:type="dxa"/>
              <w:left w:w="0" w:type="dxa"/>
              <w:bottom w:w="0" w:type="dxa"/>
              <w:right w:w="360" w:type="dxa"/>
            </w:tcMar>
            <w:hideMark/>
          </w:tcPr>
          <w:p w14:paraId="740FCAC4" w14:textId="77777777" w:rsidR="003D3AE7" w:rsidRPr="003D3AE7" w:rsidRDefault="003D3AE7" w:rsidP="003D3AE7">
            <w:pPr>
              <w:pBdr>
                <w:bottom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Formularbeginn</w:t>
            </w:r>
          </w:p>
          <w:p w14:paraId="409E75EA" w14:textId="77777777" w:rsidR="003D3AE7" w:rsidRPr="003D3AE7" w:rsidRDefault="003D3AE7" w:rsidP="003D3AE7">
            <w:pPr>
              <w:pBdr>
                <w:top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Formularende</w:t>
            </w:r>
          </w:p>
          <w:p w14:paraId="53CCFAC6" w14:textId="77777777" w:rsidR="00A5169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b/>
                <w:bCs/>
                <w:kern w:val="0"/>
                <w:sz w:val="24"/>
                <w:szCs w:val="24"/>
                <w:lang w:val="en-US" w:eastAsia="de-DE"/>
                <w14:ligatures w14:val="none"/>
              </w:rPr>
              <w:t>Photovoltaic efficiency of transition metal dichalcogenides thin films by ab initio excited-state methods</w:t>
            </w:r>
            <w:r w:rsidRPr="003D3AE7">
              <w:rPr>
                <w:rFonts w:ascii="Times New Roman" w:eastAsia="Times New Roman" w:hAnsi="Times New Roman" w:cs="Times New Roman"/>
                <w:kern w:val="0"/>
                <w:sz w:val="24"/>
                <w:szCs w:val="24"/>
                <w:lang w:val="en-US" w:eastAsia="de-DE"/>
                <w14:ligatures w14:val="none"/>
              </w:rPr>
              <w:t> — </w:t>
            </w:r>
            <w:proofErr w:type="spellStart"/>
            <w:r w:rsidRPr="003D3AE7">
              <w:rPr>
                <w:rFonts w:ascii="Times New Roman" w:eastAsia="Times New Roman" w:hAnsi="Times New Roman" w:cs="Times New Roman"/>
                <w:smallCaps/>
                <w:kern w:val="0"/>
                <w:sz w:val="24"/>
                <w:szCs w:val="24"/>
                <w:lang w:val="en-US" w:eastAsia="de-DE"/>
                <w14:ligatures w14:val="none"/>
              </w:rPr>
              <w:t>Enesio</w:t>
            </w:r>
            <w:proofErr w:type="spellEnd"/>
            <w:r w:rsidRPr="003D3AE7">
              <w:rPr>
                <w:rFonts w:ascii="Times New Roman" w:eastAsia="Times New Roman" w:hAnsi="Times New Roman" w:cs="Times New Roman"/>
                <w:smallCaps/>
                <w:kern w:val="0"/>
                <w:sz w:val="24"/>
                <w:szCs w:val="24"/>
                <w:lang w:val="en-US" w:eastAsia="de-DE"/>
                <w14:ligatures w14:val="none"/>
              </w:rPr>
              <w:t xml:space="preserve"> Marinho </w:t>
            </w:r>
            <w:proofErr w:type="spellStart"/>
            <w:r w:rsidRPr="003D3AE7">
              <w:rPr>
                <w:rFonts w:ascii="Times New Roman" w:eastAsia="Times New Roman" w:hAnsi="Times New Roman" w:cs="Times New Roman"/>
                <w:smallCaps/>
                <w:kern w:val="0"/>
                <w:sz w:val="24"/>
                <w:szCs w:val="24"/>
                <w:lang w:val="en-US" w:eastAsia="de-DE"/>
                <w14:ligatures w14:val="none"/>
              </w:rPr>
              <w:t>Jr</w:t>
            </w:r>
            <w:r w:rsidRPr="003D3AE7">
              <w:rPr>
                <w:rFonts w:ascii="Times New Roman" w:eastAsia="Times New Roman" w:hAnsi="Times New Roman" w:cs="Times New Roman"/>
                <w:kern w:val="0"/>
                <w:sz w:val="24"/>
                <w:szCs w:val="24"/>
                <w:vertAlign w:val="superscript"/>
                <w:lang w:val="en-US" w:eastAsia="de-DE"/>
                <w14:ligatures w14:val="none"/>
              </w:rPr>
              <w:t>1</w:t>
            </w:r>
            <w:proofErr w:type="spellEnd"/>
            <w:r w:rsidRPr="003D3AE7">
              <w:rPr>
                <w:rFonts w:ascii="Times New Roman" w:eastAsia="Times New Roman" w:hAnsi="Times New Roman" w:cs="Times New Roman"/>
                <w:kern w:val="0"/>
                <w:sz w:val="24"/>
                <w:szCs w:val="24"/>
                <w:lang w:val="en-US" w:eastAsia="de-DE"/>
                <w14:ligatures w14:val="none"/>
              </w:rPr>
              <w:t>, </w:t>
            </w:r>
            <w:r w:rsidRPr="003D3AE7">
              <w:rPr>
                <w:rFonts w:ascii="Times New Roman" w:eastAsia="Times New Roman" w:hAnsi="Times New Roman" w:cs="Times New Roman"/>
                <w:smallCaps/>
                <w:kern w:val="0"/>
                <w:sz w:val="24"/>
                <w:szCs w:val="24"/>
                <w:lang w:val="en-US" w:eastAsia="de-DE"/>
                <w14:ligatures w14:val="none"/>
              </w:rPr>
              <w:t xml:space="preserve">Cesar </w:t>
            </w:r>
            <w:proofErr w:type="spellStart"/>
            <w:r w:rsidRPr="003D3AE7">
              <w:rPr>
                <w:rFonts w:ascii="Times New Roman" w:eastAsia="Times New Roman" w:hAnsi="Times New Roman" w:cs="Times New Roman"/>
                <w:smallCaps/>
                <w:kern w:val="0"/>
                <w:sz w:val="24"/>
                <w:szCs w:val="24"/>
                <w:lang w:val="en-US" w:eastAsia="de-DE"/>
                <w14:ligatures w14:val="none"/>
              </w:rPr>
              <w:t>Villegas</w:t>
            </w:r>
            <w:r w:rsidRPr="003D3AE7">
              <w:rPr>
                <w:rFonts w:ascii="Times New Roman" w:eastAsia="Times New Roman" w:hAnsi="Times New Roman" w:cs="Times New Roman"/>
                <w:kern w:val="0"/>
                <w:sz w:val="24"/>
                <w:szCs w:val="24"/>
                <w:vertAlign w:val="superscript"/>
                <w:lang w:val="en-US" w:eastAsia="de-DE"/>
                <w14:ligatures w14:val="none"/>
              </w:rPr>
              <w:t>2</w:t>
            </w:r>
            <w:proofErr w:type="spellEnd"/>
            <w:r w:rsidRPr="003D3AE7">
              <w:rPr>
                <w:rFonts w:ascii="Times New Roman" w:eastAsia="Times New Roman" w:hAnsi="Times New Roman" w:cs="Times New Roman"/>
                <w:kern w:val="0"/>
                <w:sz w:val="24"/>
                <w:szCs w:val="24"/>
                <w:lang w:val="en-US" w:eastAsia="de-DE"/>
                <w14:ligatures w14:val="none"/>
              </w:rPr>
              <w:t>, </w:t>
            </w:r>
            <w:r w:rsidRPr="003D3AE7">
              <w:rPr>
                <w:rFonts w:ascii="Times New Roman" w:eastAsia="Times New Roman" w:hAnsi="Times New Roman" w:cs="Times New Roman"/>
                <w:smallCaps/>
                <w:kern w:val="0"/>
                <w:sz w:val="24"/>
                <w:szCs w:val="24"/>
                <w:lang w:val="en-US" w:eastAsia="de-DE"/>
                <w14:ligatures w14:val="none"/>
              </w:rPr>
              <w:t xml:space="preserve">Pedro </w:t>
            </w:r>
            <w:proofErr w:type="spellStart"/>
            <w:r w:rsidRPr="003D3AE7">
              <w:rPr>
                <w:rFonts w:ascii="Times New Roman" w:eastAsia="Times New Roman" w:hAnsi="Times New Roman" w:cs="Times New Roman"/>
                <w:smallCaps/>
                <w:kern w:val="0"/>
                <w:sz w:val="24"/>
                <w:szCs w:val="24"/>
                <w:lang w:val="en-US" w:eastAsia="de-DE"/>
                <w14:ligatures w14:val="none"/>
              </w:rPr>
              <w:t>Venezuela</w:t>
            </w:r>
            <w:r w:rsidRPr="003D3AE7">
              <w:rPr>
                <w:rFonts w:ascii="Times New Roman" w:eastAsia="Times New Roman" w:hAnsi="Times New Roman" w:cs="Times New Roman"/>
                <w:kern w:val="0"/>
                <w:sz w:val="24"/>
                <w:szCs w:val="24"/>
                <w:vertAlign w:val="superscript"/>
                <w:lang w:val="en-US" w:eastAsia="de-DE"/>
                <w14:ligatures w14:val="none"/>
              </w:rPr>
              <w:t>3</w:t>
            </w:r>
            <w:proofErr w:type="spellEnd"/>
            <w:r w:rsidRPr="003D3AE7">
              <w:rPr>
                <w:rFonts w:ascii="Times New Roman" w:eastAsia="Times New Roman" w:hAnsi="Times New Roman" w:cs="Times New Roman"/>
                <w:kern w:val="0"/>
                <w:sz w:val="24"/>
                <w:szCs w:val="24"/>
                <w:lang w:val="en-US" w:eastAsia="de-DE"/>
                <w14:ligatures w14:val="none"/>
              </w:rPr>
              <w:t>, and •</w:t>
            </w:r>
            <w:r w:rsidRPr="003D3AE7">
              <w:rPr>
                <w:rFonts w:ascii="Times New Roman" w:eastAsia="Times New Roman" w:hAnsi="Times New Roman" w:cs="Times New Roman"/>
                <w:smallCaps/>
                <w:kern w:val="0"/>
                <w:sz w:val="24"/>
                <w:szCs w:val="24"/>
                <w:lang w:val="en-US" w:eastAsia="de-DE"/>
                <w14:ligatures w14:val="none"/>
              </w:rPr>
              <w:t xml:space="preserve">Alexandre </w:t>
            </w:r>
            <w:proofErr w:type="spellStart"/>
            <w:r w:rsidRPr="003D3AE7">
              <w:rPr>
                <w:rFonts w:ascii="Times New Roman" w:eastAsia="Times New Roman" w:hAnsi="Times New Roman" w:cs="Times New Roman"/>
                <w:smallCaps/>
                <w:kern w:val="0"/>
                <w:sz w:val="24"/>
                <w:szCs w:val="24"/>
                <w:lang w:val="en-US" w:eastAsia="de-DE"/>
                <w14:ligatures w14:val="none"/>
              </w:rPr>
              <w:t>Rocha</w:t>
            </w:r>
            <w:r w:rsidRPr="003D3AE7">
              <w:rPr>
                <w:rFonts w:ascii="Times New Roman" w:eastAsia="Times New Roman" w:hAnsi="Times New Roman" w:cs="Times New Roman"/>
                <w:kern w:val="0"/>
                <w:sz w:val="24"/>
                <w:szCs w:val="24"/>
                <w:vertAlign w:val="superscript"/>
                <w:lang w:val="en-US" w:eastAsia="de-DE"/>
                <w14:ligatures w14:val="none"/>
              </w:rPr>
              <w:t>4</w:t>
            </w:r>
            <w:proofErr w:type="spellEnd"/>
            <w:r w:rsidRPr="003D3AE7">
              <w:rPr>
                <w:rFonts w:ascii="Times New Roman" w:eastAsia="Times New Roman" w:hAnsi="Times New Roman" w:cs="Times New Roman"/>
                <w:kern w:val="0"/>
                <w:sz w:val="24"/>
                <w:szCs w:val="24"/>
                <w:lang w:val="en-US" w:eastAsia="de-DE"/>
                <w14:ligatures w14:val="none"/>
              </w:rPr>
              <w:t> </w:t>
            </w:r>
          </w:p>
          <w:p w14:paraId="1A1E584B" w14:textId="2223D5C7" w:rsidR="003D3AE7" w:rsidRPr="00A51697" w:rsidRDefault="003D3AE7" w:rsidP="003D3AE7">
            <w:pPr>
              <w:spacing w:before="100" w:beforeAutospacing="1" w:after="100" w:afterAutospacing="1" w:line="240" w:lineRule="auto"/>
              <w:rPr>
                <w:rFonts w:ascii="Times New Roman" w:eastAsia="Times New Roman" w:hAnsi="Times New Roman" w:cs="Times New Roman"/>
                <w:kern w:val="0"/>
                <w:sz w:val="16"/>
                <w:szCs w:val="16"/>
                <w:lang w:val="en-US" w:eastAsia="de-DE"/>
                <w14:ligatures w14:val="none"/>
              </w:rPr>
            </w:pPr>
            <w:r w:rsidRPr="00A51697">
              <w:rPr>
                <w:rFonts w:ascii="Times New Roman" w:eastAsia="Times New Roman" w:hAnsi="Times New Roman" w:cs="Times New Roman"/>
                <w:kern w:val="0"/>
                <w:sz w:val="16"/>
                <w:szCs w:val="16"/>
                <w:lang w:val="en-US" w:eastAsia="de-DE"/>
                <w14:ligatures w14:val="none"/>
              </w:rPr>
              <w:t>— </w:t>
            </w:r>
            <w:proofErr w:type="spellStart"/>
            <w:r w:rsidRPr="00A51697">
              <w:rPr>
                <w:rFonts w:ascii="Times New Roman" w:eastAsia="Times New Roman" w:hAnsi="Times New Roman" w:cs="Times New Roman"/>
                <w:kern w:val="0"/>
                <w:sz w:val="16"/>
                <w:szCs w:val="16"/>
                <w:vertAlign w:val="superscript"/>
                <w:lang w:val="en-US" w:eastAsia="de-DE"/>
                <w14:ligatures w14:val="none"/>
              </w:rPr>
              <w:t>1</w:t>
            </w:r>
            <w:r w:rsidRPr="00A51697">
              <w:rPr>
                <w:rFonts w:ascii="Times New Roman" w:eastAsia="Times New Roman" w:hAnsi="Times New Roman" w:cs="Times New Roman"/>
                <w:kern w:val="0"/>
                <w:sz w:val="16"/>
                <w:szCs w:val="16"/>
                <w:lang w:val="en-US" w:eastAsia="de-DE"/>
                <w14:ligatures w14:val="none"/>
              </w:rPr>
              <w:t>Departamento</w:t>
            </w:r>
            <w:proofErr w:type="spellEnd"/>
            <w:r w:rsidRPr="00A51697">
              <w:rPr>
                <w:rFonts w:ascii="Times New Roman" w:eastAsia="Times New Roman" w:hAnsi="Times New Roman" w:cs="Times New Roman"/>
                <w:kern w:val="0"/>
                <w:sz w:val="16"/>
                <w:szCs w:val="16"/>
                <w:lang w:val="en-US" w:eastAsia="de-DE"/>
                <w14:ligatures w14:val="none"/>
              </w:rPr>
              <w:t xml:space="preserve"> de </w:t>
            </w:r>
            <w:proofErr w:type="spellStart"/>
            <w:r w:rsidRPr="00A51697">
              <w:rPr>
                <w:rFonts w:ascii="Times New Roman" w:eastAsia="Times New Roman" w:hAnsi="Times New Roman" w:cs="Times New Roman"/>
                <w:kern w:val="0"/>
                <w:sz w:val="16"/>
                <w:szCs w:val="16"/>
                <w:lang w:val="en-US" w:eastAsia="de-DE"/>
                <w14:ligatures w14:val="none"/>
              </w:rPr>
              <w:t>Física</w:t>
            </w:r>
            <w:proofErr w:type="spellEnd"/>
            <w:r w:rsidRPr="00A51697">
              <w:rPr>
                <w:rFonts w:ascii="Times New Roman" w:eastAsia="Times New Roman" w:hAnsi="Times New Roman" w:cs="Times New Roman"/>
                <w:kern w:val="0"/>
                <w:sz w:val="16"/>
                <w:szCs w:val="16"/>
                <w:lang w:val="en-US" w:eastAsia="de-DE"/>
                <w14:ligatures w14:val="none"/>
              </w:rPr>
              <w:t xml:space="preserve"> e </w:t>
            </w:r>
            <w:proofErr w:type="spellStart"/>
            <w:r w:rsidRPr="00A51697">
              <w:rPr>
                <w:rFonts w:ascii="Times New Roman" w:eastAsia="Times New Roman" w:hAnsi="Times New Roman" w:cs="Times New Roman"/>
                <w:kern w:val="0"/>
                <w:sz w:val="16"/>
                <w:szCs w:val="16"/>
                <w:lang w:val="en-US" w:eastAsia="de-DE"/>
                <w14:ligatures w14:val="none"/>
              </w:rPr>
              <w:t>Química</w:t>
            </w:r>
            <w:proofErr w:type="spellEnd"/>
            <w:r w:rsidRPr="00A51697">
              <w:rPr>
                <w:rFonts w:ascii="Times New Roman" w:eastAsia="Times New Roman" w:hAnsi="Times New Roman" w:cs="Times New Roman"/>
                <w:kern w:val="0"/>
                <w:sz w:val="16"/>
                <w:szCs w:val="16"/>
                <w:lang w:val="en-US" w:eastAsia="de-DE"/>
                <w14:ligatures w14:val="none"/>
              </w:rPr>
              <w:t xml:space="preserve">, </w:t>
            </w:r>
            <w:proofErr w:type="spellStart"/>
            <w:r w:rsidRPr="00A51697">
              <w:rPr>
                <w:rFonts w:ascii="Times New Roman" w:eastAsia="Times New Roman" w:hAnsi="Times New Roman" w:cs="Times New Roman"/>
                <w:kern w:val="0"/>
                <w:sz w:val="16"/>
                <w:szCs w:val="16"/>
                <w:lang w:val="en-US" w:eastAsia="de-DE"/>
                <w14:ligatures w14:val="none"/>
              </w:rPr>
              <w:t>Universidade</w:t>
            </w:r>
            <w:proofErr w:type="spellEnd"/>
            <w:r w:rsidRPr="00A51697">
              <w:rPr>
                <w:rFonts w:ascii="Times New Roman" w:eastAsia="Times New Roman" w:hAnsi="Times New Roman" w:cs="Times New Roman"/>
                <w:kern w:val="0"/>
                <w:sz w:val="16"/>
                <w:szCs w:val="16"/>
                <w:lang w:val="en-US" w:eastAsia="de-DE"/>
                <w14:ligatures w14:val="none"/>
              </w:rPr>
              <w:t xml:space="preserve"> </w:t>
            </w:r>
            <w:proofErr w:type="spellStart"/>
            <w:r w:rsidRPr="00A51697">
              <w:rPr>
                <w:rFonts w:ascii="Times New Roman" w:eastAsia="Times New Roman" w:hAnsi="Times New Roman" w:cs="Times New Roman"/>
                <w:kern w:val="0"/>
                <w:sz w:val="16"/>
                <w:szCs w:val="16"/>
                <w:lang w:val="en-US" w:eastAsia="de-DE"/>
                <w14:ligatures w14:val="none"/>
              </w:rPr>
              <w:t>Estadual</w:t>
            </w:r>
            <w:proofErr w:type="spellEnd"/>
            <w:r w:rsidRPr="00A51697">
              <w:rPr>
                <w:rFonts w:ascii="Times New Roman" w:eastAsia="Times New Roman" w:hAnsi="Times New Roman" w:cs="Times New Roman"/>
                <w:kern w:val="0"/>
                <w:sz w:val="16"/>
                <w:szCs w:val="16"/>
                <w:lang w:val="en-US" w:eastAsia="de-DE"/>
                <w14:ligatures w14:val="none"/>
              </w:rPr>
              <w:t xml:space="preserve"> </w:t>
            </w:r>
            <w:proofErr w:type="spellStart"/>
            <w:r w:rsidRPr="00A51697">
              <w:rPr>
                <w:rFonts w:ascii="Times New Roman" w:eastAsia="Times New Roman" w:hAnsi="Times New Roman" w:cs="Times New Roman"/>
                <w:kern w:val="0"/>
                <w:sz w:val="16"/>
                <w:szCs w:val="16"/>
                <w:lang w:val="en-US" w:eastAsia="de-DE"/>
                <w14:ligatures w14:val="none"/>
              </w:rPr>
              <w:t>Paulista</w:t>
            </w:r>
            <w:proofErr w:type="spellEnd"/>
            <w:r w:rsidRPr="00A51697">
              <w:rPr>
                <w:rFonts w:ascii="Times New Roman" w:eastAsia="Times New Roman" w:hAnsi="Times New Roman" w:cs="Times New Roman"/>
                <w:kern w:val="0"/>
                <w:sz w:val="16"/>
                <w:szCs w:val="16"/>
                <w:lang w:val="en-US" w:eastAsia="de-DE"/>
                <w14:ligatures w14:val="none"/>
              </w:rPr>
              <w:t xml:space="preserve"> (</w:t>
            </w:r>
            <w:proofErr w:type="spellStart"/>
            <w:r w:rsidRPr="00A51697">
              <w:rPr>
                <w:rFonts w:ascii="Times New Roman" w:eastAsia="Times New Roman" w:hAnsi="Times New Roman" w:cs="Times New Roman"/>
                <w:kern w:val="0"/>
                <w:sz w:val="16"/>
                <w:szCs w:val="16"/>
                <w:lang w:val="en-US" w:eastAsia="de-DE"/>
                <w14:ligatures w14:val="none"/>
              </w:rPr>
              <w:t>UNESP</w:t>
            </w:r>
            <w:proofErr w:type="spellEnd"/>
            <w:r w:rsidRPr="00A51697">
              <w:rPr>
                <w:rFonts w:ascii="Times New Roman" w:eastAsia="Times New Roman" w:hAnsi="Times New Roman" w:cs="Times New Roman"/>
                <w:kern w:val="0"/>
                <w:sz w:val="16"/>
                <w:szCs w:val="16"/>
                <w:lang w:val="en-US" w:eastAsia="de-DE"/>
                <w14:ligatures w14:val="none"/>
              </w:rPr>
              <w:t xml:space="preserve">), Av. </w:t>
            </w:r>
            <w:proofErr w:type="spellStart"/>
            <w:r w:rsidRPr="00A51697">
              <w:rPr>
                <w:rFonts w:ascii="Times New Roman" w:eastAsia="Times New Roman" w:hAnsi="Times New Roman" w:cs="Times New Roman"/>
                <w:kern w:val="0"/>
                <w:sz w:val="16"/>
                <w:szCs w:val="16"/>
                <w:lang w:val="en-US" w:eastAsia="de-DE"/>
                <w14:ligatures w14:val="none"/>
              </w:rPr>
              <w:t>Brasil</w:t>
            </w:r>
            <w:proofErr w:type="spellEnd"/>
            <w:r w:rsidRPr="00A51697">
              <w:rPr>
                <w:rFonts w:ascii="Times New Roman" w:eastAsia="Times New Roman" w:hAnsi="Times New Roman" w:cs="Times New Roman"/>
                <w:kern w:val="0"/>
                <w:sz w:val="16"/>
                <w:szCs w:val="16"/>
                <w:lang w:val="en-US" w:eastAsia="de-DE"/>
                <w14:ligatures w14:val="none"/>
              </w:rPr>
              <w:t xml:space="preserve">, 56, Ilha </w:t>
            </w:r>
            <w:proofErr w:type="spellStart"/>
            <w:r w:rsidRPr="00A51697">
              <w:rPr>
                <w:rFonts w:ascii="Times New Roman" w:eastAsia="Times New Roman" w:hAnsi="Times New Roman" w:cs="Times New Roman"/>
                <w:kern w:val="0"/>
                <w:sz w:val="16"/>
                <w:szCs w:val="16"/>
                <w:lang w:val="en-US" w:eastAsia="de-DE"/>
                <w14:ligatures w14:val="none"/>
              </w:rPr>
              <w:t>Solteira</w:t>
            </w:r>
            <w:proofErr w:type="spellEnd"/>
            <w:r w:rsidRPr="00A51697">
              <w:rPr>
                <w:rFonts w:ascii="Times New Roman" w:eastAsia="Times New Roman" w:hAnsi="Times New Roman" w:cs="Times New Roman"/>
                <w:kern w:val="0"/>
                <w:sz w:val="16"/>
                <w:szCs w:val="16"/>
                <w:lang w:val="en-US" w:eastAsia="de-DE"/>
                <w14:ligatures w14:val="none"/>
              </w:rPr>
              <w:t>, 15385-007 São Paulo, Brazil. — </w:t>
            </w:r>
            <w:proofErr w:type="spellStart"/>
            <w:r w:rsidRPr="00A51697">
              <w:rPr>
                <w:rFonts w:ascii="Times New Roman" w:eastAsia="Times New Roman" w:hAnsi="Times New Roman" w:cs="Times New Roman"/>
                <w:kern w:val="0"/>
                <w:sz w:val="16"/>
                <w:szCs w:val="16"/>
                <w:vertAlign w:val="superscript"/>
                <w:lang w:val="en-US" w:eastAsia="de-DE"/>
                <w14:ligatures w14:val="none"/>
              </w:rPr>
              <w:t>2</w:t>
            </w:r>
            <w:r w:rsidRPr="00A51697">
              <w:rPr>
                <w:rFonts w:ascii="Times New Roman" w:eastAsia="Times New Roman" w:hAnsi="Times New Roman" w:cs="Times New Roman"/>
                <w:kern w:val="0"/>
                <w:sz w:val="16"/>
                <w:szCs w:val="16"/>
                <w:lang w:val="en-US" w:eastAsia="de-DE"/>
                <w14:ligatures w14:val="none"/>
              </w:rPr>
              <w:t>Departamento</w:t>
            </w:r>
            <w:proofErr w:type="spellEnd"/>
            <w:r w:rsidRPr="00A51697">
              <w:rPr>
                <w:rFonts w:ascii="Times New Roman" w:eastAsia="Times New Roman" w:hAnsi="Times New Roman" w:cs="Times New Roman"/>
                <w:kern w:val="0"/>
                <w:sz w:val="16"/>
                <w:szCs w:val="16"/>
                <w:lang w:val="en-US" w:eastAsia="de-DE"/>
                <w14:ligatures w14:val="none"/>
              </w:rPr>
              <w:t xml:space="preserve"> de </w:t>
            </w:r>
            <w:proofErr w:type="spellStart"/>
            <w:r w:rsidRPr="00A51697">
              <w:rPr>
                <w:rFonts w:ascii="Times New Roman" w:eastAsia="Times New Roman" w:hAnsi="Times New Roman" w:cs="Times New Roman"/>
                <w:kern w:val="0"/>
                <w:sz w:val="16"/>
                <w:szCs w:val="16"/>
                <w:lang w:val="en-US" w:eastAsia="de-DE"/>
                <w14:ligatures w14:val="none"/>
              </w:rPr>
              <w:t>Ciencias</w:t>
            </w:r>
            <w:proofErr w:type="spellEnd"/>
            <w:r w:rsidRPr="00A51697">
              <w:rPr>
                <w:rFonts w:ascii="Times New Roman" w:eastAsia="Times New Roman" w:hAnsi="Times New Roman" w:cs="Times New Roman"/>
                <w:kern w:val="0"/>
                <w:sz w:val="16"/>
                <w:szCs w:val="16"/>
                <w:lang w:val="en-US" w:eastAsia="de-DE"/>
                <w14:ligatures w14:val="none"/>
              </w:rPr>
              <w:t xml:space="preserve">, Universidad </w:t>
            </w:r>
            <w:proofErr w:type="spellStart"/>
            <w:r w:rsidRPr="00A51697">
              <w:rPr>
                <w:rFonts w:ascii="Times New Roman" w:eastAsia="Times New Roman" w:hAnsi="Times New Roman" w:cs="Times New Roman"/>
                <w:kern w:val="0"/>
                <w:sz w:val="16"/>
                <w:szCs w:val="16"/>
                <w:lang w:val="en-US" w:eastAsia="de-DE"/>
                <w14:ligatures w14:val="none"/>
              </w:rPr>
              <w:t>Privada</w:t>
            </w:r>
            <w:proofErr w:type="spellEnd"/>
            <w:r w:rsidRPr="00A51697">
              <w:rPr>
                <w:rFonts w:ascii="Times New Roman" w:eastAsia="Times New Roman" w:hAnsi="Times New Roman" w:cs="Times New Roman"/>
                <w:kern w:val="0"/>
                <w:sz w:val="16"/>
                <w:szCs w:val="16"/>
                <w:lang w:val="en-US" w:eastAsia="de-DE"/>
                <w14:ligatures w14:val="none"/>
              </w:rPr>
              <w:t xml:space="preserve"> del Norte, Lima 15434, Peru — </w:t>
            </w:r>
            <w:proofErr w:type="spellStart"/>
            <w:r w:rsidRPr="00A51697">
              <w:rPr>
                <w:rFonts w:ascii="Times New Roman" w:eastAsia="Times New Roman" w:hAnsi="Times New Roman" w:cs="Times New Roman"/>
                <w:kern w:val="0"/>
                <w:sz w:val="16"/>
                <w:szCs w:val="16"/>
                <w:vertAlign w:val="superscript"/>
                <w:lang w:val="en-US" w:eastAsia="de-DE"/>
                <w14:ligatures w14:val="none"/>
              </w:rPr>
              <w:t>3</w:t>
            </w:r>
            <w:r w:rsidRPr="00A51697">
              <w:rPr>
                <w:rFonts w:ascii="Times New Roman" w:eastAsia="Times New Roman" w:hAnsi="Times New Roman" w:cs="Times New Roman"/>
                <w:kern w:val="0"/>
                <w:sz w:val="16"/>
                <w:szCs w:val="16"/>
                <w:lang w:val="en-US" w:eastAsia="de-DE"/>
                <w14:ligatures w14:val="none"/>
              </w:rPr>
              <w:t>Instituto</w:t>
            </w:r>
            <w:proofErr w:type="spellEnd"/>
            <w:r w:rsidRPr="00A51697">
              <w:rPr>
                <w:rFonts w:ascii="Times New Roman" w:eastAsia="Times New Roman" w:hAnsi="Times New Roman" w:cs="Times New Roman"/>
                <w:kern w:val="0"/>
                <w:sz w:val="16"/>
                <w:szCs w:val="16"/>
                <w:lang w:val="en-US" w:eastAsia="de-DE"/>
                <w14:ligatures w14:val="none"/>
              </w:rPr>
              <w:t xml:space="preserve"> de </w:t>
            </w:r>
            <w:proofErr w:type="spellStart"/>
            <w:r w:rsidRPr="00A51697">
              <w:rPr>
                <w:rFonts w:ascii="Times New Roman" w:eastAsia="Times New Roman" w:hAnsi="Times New Roman" w:cs="Times New Roman"/>
                <w:kern w:val="0"/>
                <w:sz w:val="16"/>
                <w:szCs w:val="16"/>
                <w:lang w:val="en-US" w:eastAsia="de-DE"/>
                <w14:ligatures w14:val="none"/>
              </w:rPr>
              <w:t>Física</w:t>
            </w:r>
            <w:proofErr w:type="spellEnd"/>
            <w:r w:rsidRPr="00A51697">
              <w:rPr>
                <w:rFonts w:ascii="Times New Roman" w:eastAsia="Times New Roman" w:hAnsi="Times New Roman" w:cs="Times New Roman"/>
                <w:kern w:val="0"/>
                <w:sz w:val="16"/>
                <w:szCs w:val="16"/>
                <w:lang w:val="en-US" w:eastAsia="de-DE"/>
                <w14:ligatures w14:val="none"/>
              </w:rPr>
              <w:t xml:space="preserve">, </w:t>
            </w:r>
            <w:proofErr w:type="spellStart"/>
            <w:r w:rsidRPr="00A51697">
              <w:rPr>
                <w:rFonts w:ascii="Times New Roman" w:eastAsia="Times New Roman" w:hAnsi="Times New Roman" w:cs="Times New Roman"/>
                <w:kern w:val="0"/>
                <w:sz w:val="16"/>
                <w:szCs w:val="16"/>
                <w:lang w:val="en-US" w:eastAsia="de-DE"/>
                <w14:ligatures w14:val="none"/>
              </w:rPr>
              <w:lastRenderedPageBreak/>
              <w:t>Universidade</w:t>
            </w:r>
            <w:proofErr w:type="spellEnd"/>
            <w:r w:rsidRPr="00A51697">
              <w:rPr>
                <w:rFonts w:ascii="Times New Roman" w:eastAsia="Times New Roman" w:hAnsi="Times New Roman" w:cs="Times New Roman"/>
                <w:kern w:val="0"/>
                <w:sz w:val="16"/>
                <w:szCs w:val="16"/>
                <w:lang w:val="en-US" w:eastAsia="de-DE"/>
                <w14:ligatures w14:val="none"/>
              </w:rPr>
              <w:t xml:space="preserve"> Federal Fluminense (</w:t>
            </w:r>
            <w:proofErr w:type="spellStart"/>
            <w:r w:rsidRPr="00A51697">
              <w:rPr>
                <w:rFonts w:ascii="Times New Roman" w:eastAsia="Times New Roman" w:hAnsi="Times New Roman" w:cs="Times New Roman"/>
                <w:kern w:val="0"/>
                <w:sz w:val="16"/>
                <w:szCs w:val="16"/>
                <w:lang w:val="en-US" w:eastAsia="de-DE"/>
                <w14:ligatures w14:val="none"/>
              </w:rPr>
              <w:t>UFF</w:t>
            </w:r>
            <w:proofErr w:type="spellEnd"/>
            <w:r w:rsidRPr="00A51697">
              <w:rPr>
                <w:rFonts w:ascii="Times New Roman" w:eastAsia="Times New Roman" w:hAnsi="Times New Roman" w:cs="Times New Roman"/>
                <w:kern w:val="0"/>
                <w:sz w:val="16"/>
                <w:szCs w:val="16"/>
                <w:lang w:val="en-US" w:eastAsia="de-DE"/>
                <w14:ligatures w14:val="none"/>
              </w:rPr>
              <w:t xml:space="preserve">), Av. Gal. Milton Tavares de Souza, s/n, 24210-346 </w:t>
            </w:r>
            <w:proofErr w:type="spellStart"/>
            <w:r w:rsidRPr="00A51697">
              <w:rPr>
                <w:rFonts w:ascii="Times New Roman" w:eastAsia="Times New Roman" w:hAnsi="Times New Roman" w:cs="Times New Roman"/>
                <w:kern w:val="0"/>
                <w:sz w:val="16"/>
                <w:szCs w:val="16"/>
                <w:lang w:val="en-US" w:eastAsia="de-DE"/>
                <w14:ligatures w14:val="none"/>
              </w:rPr>
              <w:t>Niterói</w:t>
            </w:r>
            <w:proofErr w:type="spellEnd"/>
            <w:r w:rsidRPr="00A51697">
              <w:rPr>
                <w:rFonts w:ascii="Times New Roman" w:eastAsia="Times New Roman" w:hAnsi="Times New Roman" w:cs="Times New Roman"/>
                <w:kern w:val="0"/>
                <w:sz w:val="16"/>
                <w:szCs w:val="16"/>
                <w:lang w:val="en-US" w:eastAsia="de-DE"/>
                <w14:ligatures w14:val="none"/>
              </w:rPr>
              <w:t>, Rio de Janeiro, Brazil. — </w:t>
            </w:r>
            <w:proofErr w:type="spellStart"/>
            <w:r w:rsidRPr="00A51697">
              <w:rPr>
                <w:rFonts w:ascii="Times New Roman" w:eastAsia="Times New Roman" w:hAnsi="Times New Roman" w:cs="Times New Roman"/>
                <w:kern w:val="0"/>
                <w:sz w:val="16"/>
                <w:szCs w:val="16"/>
                <w:vertAlign w:val="superscript"/>
                <w:lang w:val="en-US" w:eastAsia="de-DE"/>
                <w14:ligatures w14:val="none"/>
              </w:rPr>
              <w:t>4</w:t>
            </w:r>
            <w:r w:rsidRPr="00A51697">
              <w:rPr>
                <w:rFonts w:ascii="Times New Roman" w:eastAsia="Times New Roman" w:hAnsi="Times New Roman" w:cs="Times New Roman"/>
                <w:kern w:val="0"/>
                <w:sz w:val="16"/>
                <w:szCs w:val="16"/>
                <w:lang w:val="en-US" w:eastAsia="de-DE"/>
                <w14:ligatures w14:val="none"/>
              </w:rPr>
              <w:t>Instituto</w:t>
            </w:r>
            <w:proofErr w:type="spellEnd"/>
            <w:r w:rsidRPr="00A51697">
              <w:rPr>
                <w:rFonts w:ascii="Times New Roman" w:eastAsia="Times New Roman" w:hAnsi="Times New Roman" w:cs="Times New Roman"/>
                <w:kern w:val="0"/>
                <w:sz w:val="16"/>
                <w:szCs w:val="16"/>
                <w:lang w:val="en-US" w:eastAsia="de-DE"/>
                <w14:ligatures w14:val="none"/>
              </w:rPr>
              <w:t xml:space="preserve"> de </w:t>
            </w:r>
            <w:proofErr w:type="spellStart"/>
            <w:r w:rsidRPr="00A51697">
              <w:rPr>
                <w:rFonts w:ascii="Times New Roman" w:eastAsia="Times New Roman" w:hAnsi="Times New Roman" w:cs="Times New Roman"/>
                <w:kern w:val="0"/>
                <w:sz w:val="16"/>
                <w:szCs w:val="16"/>
                <w:lang w:val="en-US" w:eastAsia="de-DE"/>
                <w14:ligatures w14:val="none"/>
              </w:rPr>
              <w:t>Física</w:t>
            </w:r>
            <w:proofErr w:type="spellEnd"/>
            <w:r w:rsidRPr="00A51697">
              <w:rPr>
                <w:rFonts w:ascii="Times New Roman" w:eastAsia="Times New Roman" w:hAnsi="Times New Roman" w:cs="Times New Roman"/>
                <w:kern w:val="0"/>
                <w:sz w:val="16"/>
                <w:szCs w:val="16"/>
                <w:lang w:val="en-US" w:eastAsia="de-DE"/>
                <w14:ligatures w14:val="none"/>
              </w:rPr>
              <w:t xml:space="preserve"> </w:t>
            </w:r>
            <w:proofErr w:type="spellStart"/>
            <w:r w:rsidRPr="00A51697">
              <w:rPr>
                <w:rFonts w:ascii="Times New Roman" w:eastAsia="Times New Roman" w:hAnsi="Times New Roman" w:cs="Times New Roman"/>
                <w:kern w:val="0"/>
                <w:sz w:val="16"/>
                <w:szCs w:val="16"/>
                <w:lang w:val="en-US" w:eastAsia="de-DE"/>
                <w14:ligatures w14:val="none"/>
              </w:rPr>
              <w:t>Teórica</w:t>
            </w:r>
            <w:proofErr w:type="spellEnd"/>
            <w:r w:rsidRPr="00A51697">
              <w:rPr>
                <w:rFonts w:ascii="Times New Roman" w:eastAsia="Times New Roman" w:hAnsi="Times New Roman" w:cs="Times New Roman"/>
                <w:kern w:val="0"/>
                <w:sz w:val="16"/>
                <w:szCs w:val="16"/>
                <w:lang w:val="en-US" w:eastAsia="de-DE"/>
                <w14:ligatures w14:val="none"/>
              </w:rPr>
              <w:t xml:space="preserve">, </w:t>
            </w:r>
            <w:proofErr w:type="spellStart"/>
            <w:r w:rsidRPr="00A51697">
              <w:rPr>
                <w:rFonts w:ascii="Times New Roman" w:eastAsia="Times New Roman" w:hAnsi="Times New Roman" w:cs="Times New Roman"/>
                <w:kern w:val="0"/>
                <w:sz w:val="16"/>
                <w:szCs w:val="16"/>
                <w:lang w:val="en-US" w:eastAsia="de-DE"/>
                <w14:ligatures w14:val="none"/>
              </w:rPr>
              <w:t>Universidade</w:t>
            </w:r>
            <w:proofErr w:type="spellEnd"/>
            <w:r w:rsidRPr="00A51697">
              <w:rPr>
                <w:rFonts w:ascii="Times New Roman" w:eastAsia="Times New Roman" w:hAnsi="Times New Roman" w:cs="Times New Roman"/>
                <w:kern w:val="0"/>
                <w:sz w:val="16"/>
                <w:szCs w:val="16"/>
                <w:lang w:val="en-US" w:eastAsia="de-DE"/>
                <w14:ligatures w14:val="none"/>
              </w:rPr>
              <w:t xml:space="preserve"> </w:t>
            </w:r>
            <w:proofErr w:type="spellStart"/>
            <w:r w:rsidRPr="00A51697">
              <w:rPr>
                <w:rFonts w:ascii="Times New Roman" w:eastAsia="Times New Roman" w:hAnsi="Times New Roman" w:cs="Times New Roman"/>
                <w:kern w:val="0"/>
                <w:sz w:val="16"/>
                <w:szCs w:val="16"/>
                <w:lang w:val="en-US" w:eastAsia="de-DE"/>
                <w14:ligatures w14:val="none"/>
              </w:rPr>
              <w:t>Estadual</w:t>
            </w:r>
            <w:proofErr w:type="spellEnd"/>
            <w:r w:rsidRPr="00A51697">
              <w:rPr>
                <w:rFonts w:ascii="Times New Roman" w:eastAsia="Times New Roman" w:hAnsi="Times New Roman" w:cs="Times New Roman"/>
                <w:kern w:val="0"/>
                <w:sz w:val="16"/>
                <w:szCs w:val="16"/>
                <w:lang w:val="en-US" w:eastAsia="de-DE"/>
                <w14:ligatures w14:val="none"/>
              </w:rPr>
              <w:t xml:space="preserve"> </w:t>
            </w:r>
            <w:proofErr w:type="spellStart"/>
            <w:r w:rsidRPr="00A51697">
              <w:rPr>
                <w:rFonts w:ascii="Times New Roman" w:eastAsia="Times New Roman" w:hAnsi="Times New Roman" w:cs="Times New Roman"/>
                <w:kern w:val="0"/>
                <w:sz w:val="16"/>
                <w:szCs w:val="16"/>
                <w:lang w:val="en-US" w:eastAsia="de-DE"/>
                <w14:ligatures w14:val="none"/>
              </w:rPr>
              <w:t>Paulista</w:t>
            </w:r>
            <w:proofErr w:type="spellEnd"/>
            <w:r w:rsidRPr="00A51697">
              <w:rPr>
                <w:rFonts w:ascii="Times New Roman" w:eastAsia="Times New Roman" w:hAnsi="Times New Roman" w:cs="Times New Roman"/>
                <w:kern w:val="0"/>
                <w:sz w:val="16"/>
                <w:szCs w:val="16"/>
                <w:lang w:val="en-US" w:eastAsia="de-DE"/>
                <w14:ligatures w14:val="none"/>
              </w:rPr>
              <w:t xml:space="preserve"> (</w:t>
            </w:r>
            <w:proofErr w:type="spellStart"/>
            <w:r w:rsidRPr="00A51697">
              <w:rPr>
                <w:rFonts w:ascii="Times New Roman" w:eastAsia="Times New Roman" w:hAnsi="Times New Roman" w:cs="Times New Roman"/>
                <w:kern w:val="0"/>
                <w:sz w:val="16"/>
                <w:szCs w:val="16"/>
                <w:lang w:val="en-US" w:eastAsia="de-DE"/>
                <w14:ligatures w14:val="none"/>
              </w:rPr>
              <w:t>UNESP</w:t>
            </w:r>
            <w:proofErr w:type="spellEnd"/>
            <w:r w:rsidRPr="00A51697">
              <w:rPr>
                <w:rFonts w:ascii="Times New Roman" w:eastAsia="Times New Roman" w:hAnsi="Times New Roman" w:cs="Times New Roman"/>
                <w:kern w:val="0"/>
                <w:sz w:val="16"/>
                <w:szCs w:val="16"/>
                <w:lang w:val="en-US" w:eastAsia="de-DE"/>
                <w14:ligatures w14:val="none"/>
              </w:rPr>
              <w:t>)</w:t>
            </w:r>
          </w:p>
          <w:p w14:paraId="192DF743"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kern w:val="0"/>
                <w:sz w:val="24"/>
                <w:szCs w:val="24"/>
                <w:lang w:val="en-US" w:eastAsia="de-DE"/>
                <w14:ligatures w14:val="none"/>
              </w:rPr>
              <w:t>Transition metal dichalcogenides (</w:t>
            </w:r>
            <w:proofErr w:type="spellStart"/>
            <w:r w:rsidRPr="003D3AE7">
              <w:rPr>
                <w:rFonts w:ascii="Times New Roman" w:eastAsia="Times New Roman" w:hAnsi="Times New Roman" w:cs="Times New Roman"/>
                <w:kern w:val="0"/>
                <w:sz w:val="24"/>
                <w:szCs w:val="24"/>
                <w:lang w:val="en-US" w:eastAsia="de-DE"/>
                <w14:ligatures w14:val="none"/>
              </w:rPr>
              <w:t>TMDCs</w:t>
            </w:r>
            <w:proofErr w:type="spellEnd"/>
            <w:r w:rsidRPr="003D3AE7">
              <w:rPr>
                <w:rFonts w:ascii="Times New Roman" w:eastAsia="Times New Roman" w:hAnsi="Times New Roman" w:cs="Times New Roman"/>
                <w:kern w:val="0"/>
                <w:sz w:val="24"/>
                <w:szCs w:val="24"/>
                <w:lang w:val="en-US" w:eastAsia="de-DE"/>
                <w14:ligatures w14:val="none"/>
              </w:rPr>
              <w:t xml:space="preserve">) have garnered significant interest in optoelectronics, owing to their scalability and thickness-dependent electronic and optical properties. </w:t>
            </w:r>
            <w:proofErr w:type="gramStart"/>
            <w:r w:rsidRPr="003D3AE7">
              <w:rPr>
                <w:rFonts w:ascii="Times New Roman" w:eastAsia="Times New Roman" w:hAnsi="Times New Roman" w:cs="Times New Roman"/>
                <w:kern w:val="0"/>
                <w:sz w:val="24"/>
                <w:szCs w:val="24"/>
                <w:lang w:val="en-US" w:eastAsia="de-DE"/>
                <w14:ligatures w14:val="none"/>
              </w:rPr>
              <w:t>In particular, thin</w:t>
            </w:r>
            <w:proofErr w:type="gramEnd"/>
            <w:r w:rsidRPr="003D3AE7">
              <w:rPr>
                <w:rFonts w:ascii="Times New Roman" w:eastAsia="Times New Roman" w:hAnsi="Times New Roman" w:cs="Times New Roman"/>
                <w:kern w:val="0"/>
                <w:sz w:val="24"/>
                <w:szCs w:val="24"/>
                <w:lang w:val="en-US" w:eastAsia="de-DE"/>
                <w14:ligatures w14:val="none"/>
              </w:rPr>
              <w:t xml:space="preserve"> films of </w:t>
            </w:r>
            <w:proofErr w:type="spellStart"/>
            <w:r w:rsidRPr="003D3AE7">
              <w:rPr>
                <w:rFonts w:ascii="Times New Roman" w:eastAsia="Times New Roman" w:hAnsi="Times New Roman" w:cs="Times New Roman"/>
                <w:kern w:val="0"/>
                <w:sz w:val="24"/>
                <w:szCs w:val="24"/>
                <w:lang w:val="en-US" w:eastAsia="de-DE"/>
                <w14:ligatures w14:val="none"/>
              </w:rPr>
              <w:t>TMDCs</w:t>
            </w:r>
            <w:proofErr w:type="spellEnd"/>
            <w:r w:rsidRPr="003D3AE7">
              <w:rPr>
                <w:rFonts w:ascii="Times New Roman" w:eastAsia="Times New Roman" w:hAnsi="Times New Roman" w:cs="Times New Roman"/>
                <w:kern w:val="0"/>
                <w:sz w:val="24"/>
                <w:szCs w:val="24"/>
                <w:lang w:val="en-US" w:eastAsia="de-DE"/>
                <w14:ligatures w14:val="none"/>
              </w:rPr>
              <w:t xml:space="preserve"> could be used in novel photovoltaic devices. In this work, we employ ab initio many-body perturbation theory within GW-BSE approach to accurately compute the optoelectronic properties of thin films of </w:t>
            </w:r>
            <w:proofErr w:type="spellStart"/>
            <w:r w:rsidRPr="003D3AE7">
              <w:rPr>
                <w:rFonts w:ascii="Times New Roman" w:eastAsia="Times New Roman" w:hAnsi="Times New Roman" w:cs="Times New Roman"/>
                <w:kern w:val="0"/>
                <w:sz w:val="24"/>
                <w:szCs w:val="24"/>
                <w:lang w:val="en-US" w:eastAsia="de-DE"/>
                <w14:ligatures w14:val="none"/>
              </w:rPr>
              <w:t>2H-TMDCs</w:t>
            </w:r>
            <w:proofErr w:type="spellEnd"/>
            <w:r w:rsidRPr="003D3AE7">
              <w:rPr>
                <w:rFonts w:ascii="Times New Roman" w:eastAsia="Times New Roman" w:hAnsi="Times New Roman" w:cs="Times New Roman"/>
                <w:kern w:val="0"/>
                <w:sz w:val="24"/>
                <w:szCs w:val="24"/>
                <w:lang w:val="en-US" w:eastAsia="de-DE"/>
                <w14:ligatures w14:val="none"/>
              </w:rPr>
              <w:t xml:space="preserve"> composed of Mo, W, S, and Se.</w:t>
            </w:r>
          </w:p>
          <w:p w14:paraId="137379CB"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kern w:val="0"/>
                <w:sz w:val="24"/>
                <w:szCs w:val="24"/>
                <w:lang w:val="en-US" w:eastAsia="de-DE"/>
                <w14:ligatures w14:val="none"/>
              </w:rPr>
              <w:t xml:space="preserve">Subsequently, we evaluate their photovoltaic performance including exciton recombination effects, and show this is a key ingredient. We obtain efficiencies of up to 29 % for a 100-nm thick film of </w:t>
            </w:r>
            <w:proofErr w:type="spellStart"/>
            <w:r w:rsidRPr="003D3AE7">
              <w:rPr>
                <w:rFonts w:ascii="Times New Roman" w:eastAsia="Times New Roman" w:hAnsi="Times New Roman" w:cs="Times New Roman"/>
                <w:kern w:val="0"/>
                <w:sz w:val="24"/>
                <w:szCs w:val="24"/>
                <w:lang w:val="en-US" w:eastAsia="de-DE"/>
                <w14:ligatures w14:val="none"/>
              </w:rPr>
              <w:t>WSe2</w:t>
            </w:r>
            <w:proofErr w:type="spellEnd"/>
            <w:r w:rsidRPr="003D3AE7">
              <w:rPr>
                <w:rFonts w:ascii="Times New Roman" w:eastAsia="Times New Roman" w:hAnsi="Times New Roman" w:cs="Times New Roman"/>
                <w:kern w:val="0"/>
                <w:sz w:val="24"/>
                <w:szCs w:val="24"/>
                <w:lang w:val="en-US" w:eastAsia="de-DE"/>
                <w14:ligatures w14:val="none"/>
              </w:rPr>
              <w:t xml:space="preserve">, thus providing an upper limit. We also include other phenomenological recombination mechanisms that could be present in current samples. This slightly reduces efficiencies, indicating that even with current synthesis technologies, there is still potential for further enhancement of </w:t>
            </w:r>
            <w:proofErr w:type="spellStart"/>
            <w:r w:rsidRPr="003D3AE7">
              <w:rPr>
                <w:rFonts w:ascii="Times New Roman" w:eastAsia="Times New Roman" w:hAnsi="Times New Roman" w:cs="Times New Roman"/>
                <w:kern w:val="0"/>
                <w:sz w:val="24"/>
                <w:szCs w:val="24"/>
                <w:lang w:val="en-US" w:eastAsia="de-DE"/>
                <w14:ligatures w14:val="none"/>
              </w:rPr>
              <w:t>TMDCs</w:t>
            </w:r>
            <w:proofErr w:type="spellEnd"/>
            <w:r w:rsidRPr="003D3AE7">
              <w:rPr>
                <w:rFonts w:ascii="Times New Roman" w:eastAsia="Times New Roman" w:hAnsi="Times New Roman" w:cs="Times New Roman"/>
                <w:kern w:val="0"/>
                <w:sz w:val="24"/>
                <w:szCs w:val="24"/>
                <w:lang w:val="en-US" w:eastAsia="de-DE"/>
                <w14:ligatures w14:val="none"/>
              </w:rPr>
              <w:t xml:space="preserve"> performance in photovoltaic applications.</w:t>
            </w:r>
          </w:p>
        </w:tc>
      </w:tr>
      <w:tr w:rsidR="003D3AE7" w:rsidRPr="003C1CAD" w14:paraId="74E666A9" w14:textId="77777777" w:rsidTr="003D3AE7">
        <w:trPr>
          <w:tblCellSpacing w:w="15" w:type="dxa"/>
        </w:trPr>
        <w:tc>
          <w:tcPr>
            <w:tcW w:w="0" w:type="auto"/>
            <w:tcMar>
              <w:top w:w="96" w:type="dxa"/>
              <w:left w:w="0" w:type="dxa"/>
              <w:bottom w:w="0" w:type="dxa"/>
              <w:right w:w="360" w:type="dxa"/>
            </w:tcMar>
            <w:hideMark/>
          </w:tcPr>
          <w:p w14:paraId="2E33168D"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noProof/>
                <w:color w:val="363B90"/>
                <w:kern w:val="0"/>
                <w:sz w:val="24"/>
                <w:szCs w:val="24"/>
                <w:lang w:eastAsia="de-DE"/>
                <w14:ligatures w14:val="none"/>
              </w:rPr>
              <w:lastRenderedPageBreak/>
              <w:drawing>
                <wp:inline distT="0" distB="0" distL="0" distR="0" wp14:anchorId="70840694" wp14:editId="13FD4D5C">
                  <wp:extent cx="152400" cy="152400"/>
                  <wp:effectExtent l="0" t="0" r="0" b="0"/>
                  <wp:docPr id="8" name="Bild 8" descr="Ein Bild, das Kreis, Symbol, Logo, Design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8" descr="Ein Bild, das Kreis, Symbol, Logo, Design enthält.&#10;&#10;Automatisch generierte Beschreibung">
                            <a:hlinkClick r:id="rId19"/>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78F4F251"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16:00</w:t>
            </w:r>
          </w:p>
        </w:tc>
        <w:tc>
          <w:tcPr>
            <w:tcW w:w="0" w:type="auto"/>
            <w:noWrap/>
            <w:tcMar>
              <w:top w:w="96" w:type="dxa"/>
              <w:left w:w="0" w:type="dxa"/>
              <w:bottom w:w="0" w:type="dxa"/>
              <w:right w:w="360" w:type="dxa"/>
            </w:tcMar>
            <w:hideMark/>
          </w:tcPr>
          <w:p w14:paraId="6800F81F"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AKE 1.4</w:t>
            </w:r>
          </w:p>
        </w:tc>
        <w:tc>
          <w:tcPr>
            <w:tcW w:w="5000" w:type="pct"/>
            <w:tcMar>
              <w:top w:w="96" w:type="dxa"/>
              <w:left w:w="0" w:type="dxa"/>
              <w:bottom w:w="0" w:type="dxa"/>
              <w:right w:w="360" w:type="dxa"/>
            </w:tcMar>
            <w:hideMark/>
          </w:tcPr>
          <w:p w14:paraId="083BB048" w14:textId="77777777" w:rsidR="003D3AE7" w:rsidRPr="003D3AE7" w:rsidRDefault="00000000" w:rsidP="003D3AE7">
            <w:pPr>
              <w:spacing w:after="0" w:line="240" w:lineRule="auto"/>
              <w:rPr>
                <w:rFonts w:ascii="Times New Roman" w:eastAsia="Times New Roman" w:hAnsi="Times New Roman" w:cs="Times New Roman"/>
                <w:kern w:val="0"/>
                <w:sz w:val="24"/>
                <w:szCs w:val="24"/>
                <w:lang w:val="en-US" w:eastAsia="de-DE"/>
                <w14:ligatures w14:val="none"/>
              </w:rPr>
            </w:pPr>
            <w:hyperlink r:id="rId20" w:history="1">
              <w:r w:rsidR="003D3AE7" w:rsidRPr="003D3AE7">
                <w:rPr>
                  <w:rFonts w:ascii="Times New Roman" w:eastAsia="Times New Roman" w:hAnsi="Times New Roman" w:cs="Times New Roman"/>
                  <w:color w:val="363B90"/>
                  <w:kern w:val="0"/>
                  <w:sz w:val="24"/>
                  <w:szCs w:val="24"/>
                  <w:u w:val="single"/>
                  <w:lang w:val="en-US" w:eastAsia="de-DE"/>
                  <w14:ligatures w14:val="none"/>
                </w:rPr>
                <w:t>On the theoretical framework for meniscus-guided manufacturing of large scale OPV modules</w:t>
              </w:r>
            </w:hyperlink>
            <w:r w:rsidR="003D3AE7" w:rsidRPr="003D3AE7">
              <w:rPr>
                <w:rFonts w:ascii="Times New Roman" w:eastAsia="Times New Roman" w:hAnsi="Times New Roman" w:cs="Times New Roman"/>
                <w:kern w:val="0"/>
                <w:sz w:val="24"/>
                <w:szCs w:val="24"/>
                <w:lang w:val="en-US" w:eastAsia="de-DE"/>
                <w14:ligatures w14:val="none"/>
              </w:rPr>
              <w:t> — •</w:t>
            </w:r>
            <w:r w:rsidR="003D3AE7" w:rsidRPr="003D3AE7">
              <w:rPr>
                <w:rFonts w:ascii="Times New Roman" w:eastAsia="Times New Roman" w:hAnsi="Times New Roman" w:cs="Times New Roman"/>
                <w:smallCaps/>
                <w:kern w:val="0"/>
                <w:sz w:val="24"/>
                <w:szCs w:val="24"/>
                <w:lang w:val="en-US" w:eastAsia="de-DE"/>
                <w14:ligatures w14:val="none"/>
              </w:rPr>
              <w:t>Fabian Gumpert</w:t>
            </w:r>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 xml:space="preserve">Annika </w:t>
            </w:r>
            <w:proofErr w:type="spellStart"/>
            <w:r w:rsidR="003D3AE7" w:rsidRPr="003D3AE7">
              <w:rPr>
                <w:rFonts w:ascii="Times New Roman" w:eastAsia="Times New Roman" w:hAnsi="Times New Roman" w:cs="Times New Roman"/>
                <w:smallCaps/>
                <w:kern w:val="0"/>
                <w:sz w:val="24"/>
                <w:szCs w:val="24"/>
                <w:lang w:val="en-US" w:eastAsia="de-DE"/>
                <w14:ligatures w14:val="none"/>
              </w:rPr>
              <w:t>Jannßen</w:t>
            </w:r>
            <w:proofErr w:type="spellEnd"/>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Christoph J. Brabec</w:t>
            </w:r>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 xml:space="preserve">Hans-Joachim </w:t>
            </w:r>
            <w:proofErr w:type="spellStart"/>
            <w:r w:rsidR="003D3AE7" w:rsidRPr="003D3AE7">
              <w:rPr>
                <w:rFonts w:ascii="Times New Roman" w:eastAsia="Times New Roman" w:hAnsi="Times New Roman" w:cs="Times New Roman"/>
                <w:smallCaps/>
                <w:kern w:val="0"/>
                <w:sz w:val="24"/>
                <w:szCs w:val="24"/>
                <w:lang w:val="en-US" w:eastAsia="de-DE"/>
                <w14:ligatures w14:val="none"/>
              </w:rPr>
              <w:t>Egelhaaf</w:t>
            </w:r>
            <w:proofErr w:type="spellEnd"/>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 xml:space="preserve">Jan </w:t>
            </w:r>
            <w:proofErr w:type="spellStart"/>
            <w:r w:rsidR="003D3AE7" w:rsidRPr="003D3AE7">
              <w:rPr>
                <w:rFonts w:ascii="Times New Roman" w:eastAsia="Times New Roman" w:hAnsi="Times New Roman" w:cs="Times New Roman"/>
                <w:smallCaps/>
                <w:kern w:val="0"/>
                <w:sz w:val="24"/>
                <w:szCs w:val="24"/>
                <w:lang w:val="en-US" w:eastAsia="de-DE"/>
                <w14:ligatures w14:val="none"/>
              </w:rPr>
              <w:t>Lohbreier</w:t>
            </w:r>
            <w:proofErr w:type="spellEnd"/>
            <w:r w:rsidR="003D3AE7" w:rsidRPr="003D3AE7">
              <w:rPr>
                <w:rFonts w:ascii="Times New Roman" w:eastAsia="Times New Roman" w:hAnsi="Times New Roman" w:cs="Times New Roman"/>
                <w:kern w:val="0"/>
                <w:sz w:val="24"/>
                <w:szCs w:val="24"/>
                <w:lang w:val="en-US" w:eastAsia="de-DE"/>
                <w14:ligatures w14:val="none"/>
              </w:rPr>
              <w:t>, and </w:t>
            </w:r>
            <w:r w:rsidR="003D3AE7" w:rsidRPr="003D3AE7">
              <w:rPr>
                <w:rFonts w:ascii="Times New Roman" w:eastAsia="Times New Roman" w:hAnsi="Times New Roman" w:cs="Times New Roman"/>
                <w:smallCaps/>
                <w:kern w:val="0"/>
                <w:sz w:val="24"/>
                <w:szCs w:val="24"/>
                <w:lang w:val="en-US" w:eastAsia="de-DE"/>
                <w14:ligatures w14:val="none"/>
              </w:rPr>
              <w:t>Andreas Distler</w:t>
            </w:r>
          </w:p>
        </w:tc>
      </w:tr>
      <w:tr w:rsidR="003D3AE7" w:rsidRPr="003C1CAD" w14:paraId="5360A641" w14:textId="77777777" w:rsidTr="003D3AE7">
        <w:trPr>
          <w:tblCellSpacing w:w="15" w:type="dxa"/>
        </w:trPr>
        <w:tc>
          <w:tcPr>
            <w:tcW w:w="0" w:type="auto"/>
            <w:tcMar>
              <w:top w:w="96" w:type="dxa"/>
              <w:left w:w="0" w:type="dxa"/>
              <w:bottom w:w="0" w:type="dxa"/>
              <w:right w:w="360" w:type="dxa"/>
            </w:tcMar>
            <w:hideMark/>
          </w:tcPr>
          <w:p w14:paraId="45FD5D8D" w14:textId="77777777" w:rsidR="003D3AE7" w:rsidRPr="003D3AE7" w:rsidRDefault="003D3AE7" w:rsidP="003D3AE7">
            <w:pPr>
              <w:spacing w:after="0" w:line="240" w:lineRule="auto"/>
              <w:rPr>
                <w:rFonts w:ascii="Times New Roman" w:eastAsia="Times New Roman" w:hAnsi="Times New Roman" w:cs="Times New Roman"/>
                <w:kern w:val="0"/>
                <w:sz w:val="24"/>
                <w:szCs w:val="24"/>
                <w:lang w:val="en-US" w:eastAsia="de-DE"/>
                <w14:ligatures w14:val="none"/>
              </w:rPr>
            </w:pPr>
          </w:p>
        </w:tc>
        <w:tc>
          <w:tcPr>
            <w:tcW w:w="0" w:type="auto"/>
            <w:gridSpan w:val="3"/>
            <w:tcMar>
              <w:top w:w="96" w:type="dxa"/>
              <w:left w:w="0" w:type="dxa"/>
              <w:bottom w:w="0" w:type="dxa"/>
              <w:right w:w="360" w:type="dxa"/>
            </w:tcMar>
            <w:hideMark/>
          </w:tcPr>
          <w:p w14:paraId="23FAC350" w14:textId="77777777" w:rsidR="003D3AE7" w:rsidRPr="003D3AE7" w:rsidRDefault="003D3AE7" w:rsidP="003D3AE7">
            <w:pPr>
              <w:pBdr>
                <w:bottom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Formularbeginn</w:t>
            </w:r>
          </w:p>
          <w:p w14:paraId="01A82A89" w14:textId="77777777" w:rsidR="003D3AE7" w:rsidRPr="003D3AE7" w:rsidRDefault="003D3AE7" w:rsidP="003D3AE7">
            <w:pPr>
              <w:pBdr>
                <w:top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Formularende</w:t>
            </w:r>
          </w:p>
          <w:p w14:paraId="2B746DE3"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b/>
                <w:bCs/>
                <w:kern w:val="0"/>
                <w:sz w:val="24"/>
                <w:szCs w:val="24"/>
                <w:lang w:eastAsia="de-DE"/>
                <w14:ligatures w14:val="none"/>
              </w:rPr>
              <w:t xml:space="preserve">On </w:t>
            </w:r>
            <w:proofErr w:type="spellStart"/>
            <w:r w:rsidRPr="003D3AE7">
              <w:rPr>
                <w:rFonts w:ascii="Times New Roman" w:eastAsia="Times New Roman" w:hAnsi="Times New Roman" w:cs="Times New Roman"/>
                <w:b/>
                <w:bCs/>
                <w:kern w:val="0"/>
                <w:sz w:val="24"/>
                <w:szCs w:val="24"/>
                <w:lang w:eastAsia="de-DE"/>
                <w14:ligatures w14:val="none"/>
              </w:rPr>
              <w:t>the</w:t>
            </w:r>
            <w:proofErr w:type="spellEnd"/>
            <w:r w:rsidRPr="003D3AE7">
              <w:rPr>
                <w:rFonts w:ascii="Times New Roman" w:eastAsia="Times New Roman" w:hAnsi="Times New Roman" w:cs="Times New Roman"/>
                <w:b/>
                <w:bCs/>
                <w:kern w:val="0"/>
                <w:sz w:val="24"/>
                <w:szCs w:val="24"/>
                <w:lang w:eastAsia="de-DE"/>
                <w14:ligatures w14:val="none"/>
              </w:rPr>
              <w:t xml:space="preserve"> </w:t>
            </w:r>
            <w:proofErr w:type="spellStart"/>
            <w:r w:rsidRPr="003D3AE7">
              <w:rPr>
                <w:rFonts w:ascii="Times New Roman" w:eastAsia="Times New Roman" w:hAnsi="Times New Roman" w:cs="Times New Roman"/>
                <w:b/>
                <w:bCs/>
                <w:kern w:val="0"/>
                <w:sz w:val="24"/>
                <w:szCs w:val="24"/>
                <w:lang w:eastAsia="de-DE"/>
                <w14:ligatures w14:val="none"/>
              </w:rPr>
              <w:t>theoretical</w:t>
            </w:r>
            <w:proofErr w:type="spellEnd"/>
            <w:r w:rsidRPr="003D3AE7">
              <w:rPr>
                <w:rFonts w:ascii="Times New Roman" w:eastAsia="Times New Roman" w:hAnsi="Times New Roman" w:cs="Times New Roman"/>
                <w:b/>
                <w:bCs/>
                <w:kern w:val="0"/>
                <w:sz w:val="24"/>
                <w:szCs w:val="24"/>
                <w:lang w:eastAsia="de-DE"/>
                <w14:ligatures w14:val="none"/>
              </w:rPr>
              <w:t xml:space="preserve"> </w:t>
            </w:r>
            <w:proofErr w:type="spellStart"/>
            <w:r w:rsidRPr="003D3AE7">
              <w:rPr>
                <w:rFonts w:ascii="Times New Roman" w:eastAsia="Times New Roman" w:hAnsi="Times New Roman" w:cs="Times New Roman"/>
                <w:b/>
                <w:bCs/>
                <w:kern w:val="0"/>
                <w:sz w:val="24"/>
                <w:szCs w:val="24"/>
                <w:lang w:eastAsia="de-DE"/>
                <w14:ligatures w14:val="none"/>
              </w:rPr>
              <w:t>framework</w:t>
            </w:r>
            <w:proofErr w:type="spellEnd"/>
            <w:r w:rsidRPr="003D3AE7">
              <w:rPr>
                <w:rFonts w:ascii="Times New Roman" w:eastAsia="Times New Roman" w:hAnsi="Times New Roman" w:cs="Times New Roman"/>
                <w:b/>
                <w:bCs/>
                <w:kern w:val="0"/>
                <w:sz w:val="24"/>
                <w:szCs w:val="24"/>
                <w:lang w:eastAsia="de-DE"/>
                <w14:ligatures w14:val="none"/>
              </w:rPr>
              <w:t xml:space="preserve"> </w:t>
            </w:r>
            <w:proofErr w:type="spellStart"/>
            <w:r w:rsidRPr="003D3AE7">
              <w:rPr>
                <w:rFonts w:ascii="Times New Roman" w:eastAsia="Times New Roman" w:hAnsi="Times New Roman" w:cs="Times New Roman"/>
                <w:b/>
                <w:bCs/>
                <w:kern w:val="0"/>
                <w:sz w:val="24"/>
                <w:szCs w:val="24"/>
                <w:lang w:eastAsia="de-DE"/>
                <w14:ligatures w14:val="none"/>
              </w:rPr>
              <w:t>for</w:t>
            </w:r>
            <w:proofErr w:type="spellEnd"/>
            <w:r w:rsidRPr="003D3AE7">
              <w:rPr>
                <w:rFonts w:ascii="Times New Roman" w:eastAsia="Times New Roman" w:hAnsi="Times New Roman" w:cs="Times New Roman"/>
                <w:b/>
                <w:bCs/>
                <w:kern w:val="0"/>
                <w:sz w:val="24"/>
                <w:szCs w:val="24"/>
                <w:lang w:eastAsia="de-DE"/>
                <w14:ligatures w14:val="none"/>
              </w:rPr>
              <w:t xml:space="preserve"> </w:t>
            </w:r>
            <w:proofErr w:type="spellStart"/>
            <w:r w:rsidRPr="003D3AE7">
              <w:rPr>
                <w:rFonts w:ascii="Times New Roman" w:eastAsia="Times New Roman" w:hAnsi="Times New Roman" w:cs="Times New Roman"/>
                <w:b/>
                <w:bCs/>
                <w:kern w:val="0"/>
                <w:sz w:val="24"/>
                <w:szCs w:val="24"/>
                <w:lang w:eastAsia="de-DE"/>
                <w14:ligatures w14:val="none"/>
              </w:rPr>
              <w:t>meniscus-guided</w:t>
            </w:r>
            <w:proofErr w:type="spellEnd"/>
            <w:r w:rsidRPr="003D3AE7">
              <w:rPr>
                <w:rFonts w:ascii="Times New Roman" w:eastAsia="Times New Roman" w:hAnsi="Times New Roman" w:cs="Times New Roman"/>
                <w:b/>
                <w:bCs/>
                <w:kern w:val="0"/>
                <w:sz w:val="24"/>
                <w:szCs w:val="24"/>
                <w:lang w:eastAsia="de-DE"/>
                <w14:ligatures w14:val="none"/>
              </w:rPr>
              <w:t xml:space="preserve"> </w:t>
            </w:r>
            <w:proofErr w:type="spellStart"/>
            <w:r w:rsidRPr="003D3AE7">
              <w:rPr>
                <w:rFonts w:ascii="Times New Roman" w:eastAsia="Times New Roman" w:hAnsi="Times New Roman" w:cs="Times New Roman"/>
                <w:b/>
                <w:bCs/>
                <w:kern w:val="0"/>
                <w:sz w:val="24"/>
                <w:szCs w:val="24"/>
                <w:lang w:eastAsia="de-DE"/>
                <w14:ligatures w14:val="none"/>
              </w:rPr>
              <w:t>manufacturing</w:t>
            </w:r>
            <w:proofErr w:type="spellEnd"/>
            <w:r w:rsidRPr="003D3AE7">
              <w:rPr>
                <w:rFonts w:ascii="Times New Roman" w:eastAsia="Times New Roman" w:hAnsi="Times New Roman" w:cs="Times New Roman"/>
                <w:b/>
                <w:bCs/>
                <w:kern w:val="0"/>
                <w:sz w:val="24"/>
                <w:szCs w:val="24"/>
                <w:lang w:eastAsia="de-DE"/>
                <w14:ligatures w14:val="none"/>
              </w:rPr>
              <w:t xml:space="preserve"> of large </w:t>
            </w:r>
            <w:proofErr w:type="spellStart"/>
            <w:r w:rsidRPr="003D3AE7">
              <w:rPr>
                <w:rFonts w:ascii="Times New Roman" w:eastAsia="Times New Roman" w:hAnsi="Times New Roman" w:cs="Times New Roman"/>
                <w:b/>
                <w:bCs/>
                <w:kern w:val="0"/>
                <w:sz w:val="24"/>
                <w:szCs w:val="24"/>
                <w:lang w:eastAsia="de-DE"/>
                <w14:ligatures w14:val="none"/>
              </w:rPr>
              <w:t>scale</w:t>
            </w:r>
            <w:proofErr w:type="spellEnd"/>
            <w:r w:rsidRPr="003D3AE7">
              <w:rPr>
                <w:rFonts w:ascii="Times New Roman" w:eastAsia="Times New Roman" w:hAnsi="Times New Roman" w:cs="Times New Roman"/>
                <w:b/>
                <w:bCs/>
                <w:kern w:val="0"/>
                <w:sz w:val="24"/>
                <w:szCs w:val="24"/>
                <w:lang w:eastAsia="de-DE"/>
                <w14:ligatures w14:val="none"/>
              </w:rPr>
              <w:t xml:space="preserve"> </w:t>
            </w:r>
            <w:proofErr w:type="spellStart"/>
            <w:r w:rsidRPr="003D3AE7">
              <w:rPr>
                <w:rFonts w:ascii="Times New Roman" w:eastAsia="Times New Roman" w:hAnsi="Times New Roman" w:cs="Times New Roman"/>
                <w:b/>
                <w:bCs/>
                <w:kern w:val="0"/>
                <w:sz w:val="24"/>
                <w:szCs w:val="24"/>
                <w:lang w:eastAsia="de-DE"/>
                <w14:ligatures w14:val="none"/>
              </w:rPr>
              <w:t>OPV</w:t>
            </w:r>
            <w:proofErr w:type="spellEnd"/>
            <w:r w:rsidRPr="003D3AE7">
              <w:rPr>
                <w:rFonts w:ascii="Times New Roman" w:eastAsia="Times New Roman" w:hAnsi="Times New Roman" w:cs="Times New Roman"/>
                <w:b/>
                <w:bCs/>
                <w:kern w:val="0"/>
                <w:sz w:val="24"/>
                <w:szCs w:val="24"/>
                <w:lang w:eastAsia="de-DE"/>
                <w14:ligatures w14:val="none"/>
              </w:rPr>
              <w:t xml:space="preserve"> </w:t>
            </w:r>
            <w:proofErr w:type="spellStart"/>
            <w:r w:rsidRPr="003D3AE7">
              <w:rPr>
                <w:rFonts w:ascii="Times New Roman" w:eastAsia="Times New Roman" w:hAnsi="Times New Roman" w:cs="Times New Roman"/>
                <w:b/>
                <w:bCs/>
                <w:kern w:val="0"/>
                <w:sz w:val="24"/>
                <w:szCs w:val="24"/>
                <w:lang w:eastAsia="de-DE"/>
                <w14:ligatures w14:val="none"/>
              </w:rPr>
              <w:t>modules</w:t>
            </w:r>
            <w:proofErr w:type="spellEnd"/>
            <w:r w:rsidRPr="003D3AE7">
              <w:rPr>
                <w:rFonts w:ascii="Times New Roman" w:eastAsia="Times New Roman" w:hAnsi="Times New Roman" w:cs="Times New Roman"/>
                <w:kern w:val="0"/>
                <w:sz w:val="24"/>
                <w:szCs w:val="24"/>
                <w:lang w:eastAsia="de-DE"/>
                <w14:ligatures w14:val="none"/>
              </w:rPr>
              <w:t> — •</w:t>
            </w:r>
            <w:r w:rsidRPr="003D3AE7">
              <w:rPr>
                <w:rFonts w:ascii="Times New Roman" w:eastAsia="Times New Roman" w:hAnsi="Times New Roman" w:cs="Times New Roman"/>
                <w:smallCaps/>
                <w:kern w:val="0"/>
                <w:sz w:val="24"/>
                <w:szCs w:val="24"/>
                <w:lang w:eastAsia="de-DE"/>
                <w14:ligatures w14:val="none"/>
              </w:rPr>
              <w:t xml:space="preserve">Fabian </w:t>
            </w:r>
            <w:proofErr w:type="spellStart"/>
            <w:r w:rsidRPr="003D3AE7">
              <w:rPr>
                <w:rFonts w:ascii="Times New Roman" w:eastAsia="Times New Roman" w:hAnsi="Times New Roman" w:cs="Times New Roman"/>
                <w:smallCaps/>
                <w:kern w:val="0"/>
                <w:sz w:val="24"/>
                <w:szCs w:val="24"/>
                <w:lang w:eastAsia="de-DE"/>
                <w14:ligatures w14:val="none"/>
              </w:rPr>
              <w:t>Gumpert</w:t>
            </w:r>
            <w:r w:rsidRPr="003D3AE7">
              <w:rPr>
                <w:rFonts w:ascii="Times New Roman" w:eastAsia="Times New Roman" w:hAnsi="Times New Roman" w:cs="Times New Roman"/>
                <w:kern w:val="0"/>
                <w:sz w:val="24"/>
                <w:szCs w:val="24"/>
                <w:vertAlign w:val="superscript"/>
                <w:lang w:eastAsia="de-DE"/>
                <w14:ligatures w14:val="none"/>
              </w:rPr>
              <w:t>1</w:t>
            </w:r>
            <w:proofErr w:type="spellEnd"/>
            <w:r w:rsidRPr="003D3AE7">
              <w:rPr>
                <w:rFonts w:ascii="Times New Roman" w:eastAsia="Times New Roman" w:hAnsi="Times New Roman" w:cs="Times New Roman"/>
                <w:kern w:val="0"/>
                <w:sz w:val="24"/>
                <w:szCs w:val="24"/>
                <w:lang w:eastAsia="de-DE"/>
                <w14:ligatures w14:val="none"/>
              </w:rPr>
              <w:t>, </w:t>
            </w:r>
            <w:r w:rsidRPr="003D3AE7">
              <w:rPr>
                <w:rFonts w:ascii="Times New Roman" w:eastAsia="Times New Roman" w:hAnsi="Times New Roman" w:cs="Times New Roman"/>
                <w:smallCaps/>
                <w:kern w:val="0"/>
                <w:sz w:val="24"/>
                <w:szCs w:val="24"/>
                <w:lang w:eastAsia="de-DE"/>
                <w14:ligatures w14:val="none"/>
              </w:rPr>
              <w:t xml:space="preserve">Annika </w:t>
            </w:r>
            <w:proofErr w:type="spellStart"/>
            <w:r w:rsidRPr="003D3AE7">
              <w:rPr>
                <w:rFonts w:ascii="Times New Roman" w:eastAsia="Times New Roman" w:hAnsi="Times New Roman" w:cs="Times New Roman"/>
                <w:smallCaps/>
                <w:kern w:val="0"/>
                <w:sz w:val="24"/>
                <w:szCs w:val="24"/>
                <w:lang w:eastAsia="de-DE"/>
                <w14:ligatures w14:val="none"/>
              </w:rPr>
              <w:t>Jannßen</w:t>
            </w:r>
            <w:r w:rsidRPr="003D3AE7">
              <w:rPr>
                <w:rFonts w:ascii="Times New Roman" w:eastAsia="Times New Roman" w:hAnsi="Times New Roman" w:cs="Times New Roman"/>
                <w:kern w:val="0"/>
                <w:sz w:val="24"/>
                <w:szCs w:val="24"/>
                <w:vertAlign w:val="superscript"/>
                <w:lang w:eastAsia="de-DE"/>
                <w14:ligatures w14:val="none"/>
              </w:rPr>
              <w:t>1,2,3</w:t>
            </w:r>
            <w:proofErr w:type="spellEnd"/>
            <w:r w:rsidRPr="003D3AE7">
              <w:rPr>
                <w:rFonts w:ascii="Times New Roman" w:eastAsia="Times New Roman" w:hAnsi="Times New Roman" w:cs="Times New Roman"/>
                <w:kern w:val="0"/>
                <w:sz w:val="24"/>
                <w:szCs w:val="24"/>
                <w:lang w:eastAsia="de-DE"/>
                <w14:ligatures w14:val="none"/>
              </w:rPr>
              <w:t>, </w:t>
            </w:r>
            <w:r w:rsidRPr="003D3AE7">
              <w:rPr>
                <w:rFonts w:ascii="Times New Roman" w:eastAsia="Times New Roman" w:hAnsi="Times New Roman" w:cs="Times New Roman"/>
                <w:smallCaps/>
                <w:kern w:val="0"/>
                <w:sz w:val="24"/>
                <w:szCs w:val="24"/>
                <w:lang w:eastAsia="de-DE"/>
                <w14:ligatures w14:val="none"/>
              </w:rPr>
              <w:t xml:space="preserve">Christoph J. </w:t>
            </w:r>
            <w:proofErr w:type="spellStart"/>
            <w:r w:rsidRPr="003D3AE7">
              <w:rPr>
                <w:rFonts w:ascii="Times New Roman" w:eastAsia="Times New Roman" w:hAnsi="Times New Roman" w:cs="Times New Roman"/>
                <w:smallCaps/>
                <w:kern w:val="0"/>
                <w:sz w:val="24"/>
                <w:szCs w:val="24"/>
                <w:lang w:eastAsia="de-DE"/>
                <w14:ligatures w14:val="none"/>
              </w:rPr>
              <w:t>Brabec</w:t>
            </w:r>
            <w:r w:rsidRPr="003D3AE7">
              <w:rPr>
                <w:rFonts w:ascii="Times New Roman" w:eastAsia="Times New Roman" w:hAnsi="Times New Roman" w:cs="Times New Roman"/>
                <w:kern w:val="0"/>
                <w:sz w:val="24"/>
                <w:szCs w:val="24"/>
                <w:vertAlign w:val="superscript"/>
                <w:lang w:eastAsia="de-DE"/>
                <w14:ligatures w14:val="none"/>
              </w:rPr>
              <w:t>2,3</w:t>
            </w:r>
            <w:proofErr w:type="spellEnd"/>
            <w:r w:rsidRPr="003D3AE7">
              <w:rPr>
                <w:rFonts w:ascii="Times New Roman" w:eastAsia="Times New Roman" w:hAnsi="Times New Roman" w:cs="Times New Roman"/>
                <w:kern w:val="0"/>
                <w:sz w:val="24"/>
                <w:szCs w:val="24"/>
                <w:lang w:eastAsia="de-DE"/>
                <w14:ligatures w14:val="none"/>
              </w:rPr>
              <w:t>, </w:t>
            </w:r>
            <w:r w:rsidRPr="003D3AE7">
              <w:rPr>
                <w:rFonts w:ascii="Times New Roman" w:eastAsia="Times New Roman" w:hAnsi="Times New Roman" w:cs="Times New Roman"/>
                <w:smallCaps/>
                <w:kern w:val="0"/>
                <w:sz w:val="24"/>
                <w:szCs w:val="24"/>
                <w:lang w:eastAsia="de-DE"/>
                <w14:ligatures w14:val="none"/>
              </w:rPr>
              <w:t xml:space="preserve">Hans-Joachim </w:t>
            </w:r>
            <w:proofErr w:type="spellStart"/>
            <w:r w:rsidRPr="003D3AE7">
              <w:rPr>
                <w:rFonts w:ascii="Times New Roman" w:eastAsia="Times New Roman" w:hAnsi="Times New Roman" w:cs="Times New Roman"/>
                <w:smallCaps/>
                <w:kern w:val="0"/>
                <w:sz w:val="24"/>
                <w:szCs w:val="24"/>
                <w:lang w:eastAsia="de-DE"/>
                <w14:ligatures w14:val="none"/>
              </w:rPr>
              <w:t>Egelhaaf</w:t>
            </w:r>
            <w:r w:rsidRPr="003D3AE7">
              <w:rPr>
                <w:rFonts w:ascii="Times New Roman" w:eastAsia="Times New Roman" w:hAnsi="Times New Roman" w:cs="Times New Roman"/>
                <w:kern w:val="0"/>
                <w:sz w:val="24"/>
                <w:szCs w:val="24"/>
                <w:vertAlign w:val="superscript"/>
                <w:lang w:eastAsia="de-DE"/>
                <w14:ligatures w14:val="none"/>
              </w:rPr>
              <w:t>2,3</w:t>
            </w:r>
            <w:proofErr w:type="spellEnd"/>
            <w:r w:rsidRPr="003D3AE7">
              <w:rPr>
                <w:rFonts w:ascii="Times New Roman" w:eastAsia="Times New Roman" w:hAnsi="Times New Roman" w:cs="Times New Roman"/>
                <w:kern w:val="0"/>
                <w:sz w:val="24"/>
                <w:szCs w:val="24"/>
                <w:lang w:eastAsia="de-DE"/>
                <w14:ligatures w14:val="none"/>
              </w:rPr>
              <w:t>, </w:t>
            </w:r>
            <w:r w:rsidRPr="003D3AE7">
              <w:rPr>
                <w:rFonts w:ascii="Times New Roman" w:eastAsia="Times New Roman" w:hAnsi="Times New Roman" w:cs="Times New Roman"/>
                <w:smallCaps/>
                <w:kern w:val="0"/>
                <w:sz w:val="24"/>
                <w:szCs w:val="24"/>
                <w:lang w:eastAsia="de-DE"/>
                <w14:ligatures w14:val="none"/>
              </w:rPr>
              <w:t xml:space="preserve">Jan </w:t>
            </w:r>
            <w:proofErr w:type="spellStart"/>
            <w:r w:rsidRPr="003D3AE7">
              <w:rPr>
                <w:rFonts w:ascii="Times New Roman" w:eastAsia="Times New Roman" w:hAnsi="Times New Roman" w:cs="Times New Roman"/>
                <w:smallCaps/>
                <w:kern w:val="0"/>
                <w:sz w:val="24"/>
                <w:szCs w:val="24"/>
                <w:lang w:eastAsia="de-DE"/>
                <w14:ligatures w14:val="none"/>
              </w:rPr>
              <w:t>Lohbreier</w:t>
            </w:r>
            <w:r w:rsidRPr="003D3AE7">
              <w:rPr>
                <w:rFonts w:ascii="Times New Roman" w:eastAsia="Times New Roman" w:hAnsi="Times New Roman" w:cs="Times New Roman"/>
                <w:kern w:val="0"/>
                <w:sz w:val="24"/>
                <w:szCs w:val="24"/>
                <w:vertAlign w:val="superscript"/>
                <w:lang w:eastAsia="de-DE"/>
                <w14:ligatures w14:val="none"/>
              </w:rPr>
              <w:t>1</w:t>
            </w:r>
            <w:proofErr w:type="spellEnd"/>
            <w:r w:rsidRPr="003D3AE7">
              <w:rPr>
                <w:rFonts w:ascii="Times New Roman" w:eastAsia="Times New Roman" w:hAnsi="Times New Roman" w:cs="Times New Roman"/>
                <w:kern w:val="0"/>
                <w:sz w:val="24"/>
                <w:szCs w:val="24"/>
                <w:lang w:eastAsia="de-DE"/>
                <w14:ligatures w14:val="none"/>
              </w:rPr>
              <w:t>, and </w:t>
            </w:r>
            <w:r w:rsidRPr="003D3AE7">
              <w:rPr>
                <w:rFonts w:ascii="Times New Roman" w:eastAsia="Times New Roman" w:hAnsi="Times New Roman" w:cs="Times New Roman"/>
                <w:smallCaps/>
                <w:kern w:val="0"/>
                <w:sz w:val="24"/>
                <w:szCs w:val="24"/>
                <w:lang w:eastAsia="de-DE"/>
                <w14:ligatures w14:val="none"/>
              </w:rPr>
              <w:t xml:space="preserve">Andreas </w:t>
            </w:r>
            <w:proofErr w:type="spellStart"/>
            <w:r w:rsidRPr="003D3AE7">
              <w:rPr>
                <w:rFonts w:ascii="Times New Roman" w:eastAsia="Times New Roman" w:hAnsi="Times New Roman" w:cs="Times New Roman"/>
                <w:smallCaps/>
                <w:kern w:val="0"/>
                <w:sz w:val="24"/>
                <w:szCs w:val="24"/>
                <w:lang w:eastAsia="de-DE"/>
                <w14:ligatures w14:val="none"/>
              </w:rPr>
              <w:t>Distler</w:t>
            </w:r>
            <w:r w:rsidRPr="003D3AE7">
              <w:rPr>
                <w:rFonts w:ascii="Times New Roman" w:eastAsia="Times New Roman" w:hAnsi="Times New Roman" w:cs="Times New Roman"/>
                <w:kern w:val="0"/>
                <w:sz w:val="24"/>
                <w:szCs w:val="24"/>
                <w:vertAlign w:val="superscript"/>
                <w:lang w:eastAsia="de-DE"/>
                <w14:ligatures w14:val="none"/>
              </w:rPr>
              <w:t>2,3</w:t>
            </w:r>
            <w:proofErr w:type="spellEnd"/>
            <w:r w:rsidRPr="003D3AE7">
              <w:rPr>
                <w:rFonts w:ascii="Times New Roman" w:eastAsia="Times New Roman" w:hAnsi="Times New Roman" w:cs="Times New Roman"/>
                <w:kern w:val="0"/>
                <w:sz w:val="24"/>
                <w:szCs w:val="24"/>
                <w:lang w:eastAsia="de-DE"/>
                <w14:ligatures w14:val="none"/>
              </w:rPr>
              <w:t> — </w:t>
            </w:r>
            <w:proofErr w:type="spellStart"/>
            <w:r w:rsidRPr="003D3AE7">
              <w:rPr>
                <w:rFonts w:ascii="Times New Roman" w:eastAsia="Times New Roman" w:hAnsi="Times New Roman" w:cs="Times New Roman"/>
                <w:kern w:val="0"/>
                <w:sz w:val="24"/>
                <w:szCs w:val="24"/>
                <w:vertAlign w:val="superscript"/>
                <w:lang w:eastAsia="de-DE"/>
                <w14:ligatures w14:val="none"/>
              </w:rPr>
              <w:t>1</w:t>
            </w:r>
            <w:r w:rsidRPr="003D3AE7">
              <w:rPr>
                <w:rFonts w:ascii="Times New Roman" w:eastAsia="Times New Roman" w:hAnsi="Times New Roman" w:cs="Times New Roman"/>
                <w:kern w:val="0"/>
                <w:sz w:val="24"/>
                <w:szCs w:val="24"/>
                <w:lang w:eastAsia="de-DE"/>
                <w14:ligatures w14:val="none"/>
              </w:rPr>
              <w:t>Technische</w:t>
            </w:r>
            <w:proofErr w:type="spellEnd"/>
            <w:r w:rsidRPr="003D3AE7">
              <w:rPr>
                <w:rFonts w:ascii="Times New Roman" w:eastAsia="Times New Roman" w:hAnsi="Times New Roman" w:cs="Times New Roman"/>
                <w:kern w:val="0"/>
                <w:sz w:val="24"/>
                <w:szCs w:val="24"/>
                <w:lang w:eastAsia="de-DE"/>
                <w14:ligatures w14:val="none"/>
              </w:rPr>
              <w:t xml:space="preserve"> Hochschule Nürnberg Georg Simon Ohm — </w:t>
            </w:r>
            <w:proofErr w:type="spellStart"/>
            <w:r w:rsidRPr="003D3AE7">
              <w:rPr>
                <w:rFonts w:ascii="Times New Roman" w:eastAsia="Times New Roman" w:hAnsi="Times New Roman" w:cs="Times New Roman"/>
                <w:kern w:val="0"/>
                <w:sz w:val="24"/>
                <w:szCs w:val="24"/>
                <w:vertAlign w:val="superscript"/>
                <w:lang w:eastAsia="de-DE"/>
                <w14:ligatures w14:val="none"/>
              </w:rPr>
              <w:t>2</w:t>
            </w:r>
            <w:r w:rsidRPr="003D3AE7">
              <w:rPr>
                <w:rFonts w:ascii="Times New Roman" w:eastAsia="Times New Roman" w:hAnsi="Times New Roman" w:cs="Times New Roman"/>
                <w:kern w:val="0"/>
                <w:sz w:val="24"/>
                <w:szCs w:val="24"/>
                <w:lang w:eastAsia="de-DE"/>
                <w14:ligatures w14:val="none"/>
              </w:rPr>
              <w:t>Friedrich</w:t>
            </w:r>
            <w:proofErr w:type="spellEnd"/>
            <w:r w:rsidRPr="003D3AE7">
              <w:rPr>
                <w:rFonts w:ascii="Times New Roman" w:eastAsia="Times New Roman" w:hAnsi="Times New Roman" w:cs="Times New Roman"/>
                <w:kern w:val="0"/>
                <w:sz w:val="24"/>
                <w:szCs w:val="24"/>
                <w:lang w:eastAsia="de-DE"/>
                <w14:ligatures w14:val="none"/>
              </w:rPr>
              <w:t>-Alexander-Universität Erlangen-Nürnberg — </w:t>
            </w:r>
            <w:proofErr w:type="spellStart"/>
            <w:r w:rsidRPr="003D3AE7">
              <w:rPr>
                <w:rFonts w:ascii="Times New Roman" w:eastAsia="Times New Roman" w:hAnsi="Times New Roman" w:cs="Times New Roman"/>
                <w:kern w:val="0"/>
                <w:sz w:val="24"/>
                <w:szCs w:val="24"/>
                <w:vertAlign w:val="superscript"/>
                <w:lang w:eastAsia="de-DE"/>
                <w14:ligatures w14:val="none"/>
              </w:rPr>
              <w:t>3</w:t>
            </w:r>
            <w:r w:rsidRPr="003D3AE7">
              <w:rPr>
                <w:rFonts w:ascii="Times New Roman" w:eastAsia="Times New Roman" w:hAnsi="Times New Roman" w:cs="Times New Roman"/>
                <w:kern w:val="0"/>
                <w:sz w:val="24"/>
                <w:szCs w:val="24"/>
                <w:lang w:eastAsia="de-DE"/>
                <w14:ligatures w14:val="none"/>
              </w:rPr>
              <w:t>Helmholtz</w:t>
            </w:r>
            <w:proofErr w:type="spellEnd"/>
            <w:r w:rsidRPr="003D3AE7">
              <w:rPr>
                <w:rFonts w:ascii="Times New Roman" w:eastAsia="Times New Roman" w:hAnsi="Times New Roman" w:cs="Times New Roman"/>
                <w:kern w:val="0"/>
                <w:sz w:val="24"/>
                <w:szCs w:val="24"/>
                <w:lang w:eastAsia="de-DE"/>
                <w14:ligatures w14:val="none"/>
              </w:rPr>
              <w:t xml:space="preserve"> Institut Erlangen-Nürnberg</w:t>
            </w:r>
          </w:p>
          <w:p w14:paraId="2CA86613"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kern w:val="0"/>
                <w:sz w:val="24"/>
                <w:szCs w:val="24"/>
                <w:lang w:val="en-US" w:eastAsia="de-DE"/>
                <w14:ligatures w14:val="none"/>
              </w:rPr>
              <w:t xml:space="preserve">For the manufacturing of thin films of solution-processable organic semiconductors, e.g. for organic photovoltaics (OPV), meniscus guided-coating techniques are the method of choice for large scale industrial applications. However, the process requires an in-depth understanding to control the resulting film thickness. We propose an analytical expression to describe the layer thickness manufactured with a trapezoidal shaped applicator. Thus, the theoretical expression has the potential to reduce time and resource consuming experiments (e.g. maximum efficiency). For OPV, uniform layers with predefined thicknesses are necessary to achieve desired layer characteristics. For large surfaces, the significant loss of coating fluid beneath the applicator during the coating process leads to decreasing layer thicknesses with increasing coating distances. Here, we propose that an acceleration of the applicator during the process can compensate the liquid loss and thus, leads to a uniform predefined layer thickness. Expressions, which are based on theory and </w:t>
            </w:r>
            <w:proofErr w:type="spellStart"/>
            <w:r w:rsidRPr="003D3AE7">
              <w:rPr>
                <w:rFonts w:ascii="Times New Roman" w:eastAsia="Times New Roman" w:hAnsi="Times New Roman" w:cs="Times New Roman"/>
                <w:kern w:val="0"/>
                <w:sz w:val="24"/>
                <w:szCs w:val="24"/>
                <w:lang w:val="en-US" w:eastAsia="de-DE"/>
                <w14:ligatures w14:val="none"/>
              </w:rPr>
              <w:t>CFD</w:t>
            </w:r>
            <w:proofErr w:type="spellEnd"/>
            <w:r w:rsidRPr="003D3AE7">
              <w:rPr>
                <w:rFonts w:ascii="Times New Roman" w:eastAsia="Times New Roman" w:hAnsi="Times New Roman" w:cs="Times New Roman"/>
                <w:kern w:val="0"/>
                <w:sz w:val="24"/>
                <w:szCs w:val="24"/>
                <w:lang w:val="en-US" w:eastAsia="de-DE"/>
                <w14:ligatures w14:val="none"/>
              </w:rPr>
              <w:t xml:space="preserve"> simulation, to describe the velocity as a function of time are derived and validated by experimental data.</w:t>
            </w:r>
          </w:p>
        </w:tc>
      </w:tr>
      <w:tr w:rsidR="003D3AE7" w:rsidRPr="003D3AE7" w14:paraId="23119173" w14:textId="77777777" w:rsidTr="003D3AE7">
        <w:trPr>
          <w:tblCellSpacing w:w="15" w:type="dxa"/>
        </w:trPr>
        <w:tc>
          <w:tcPr>
            <w:tcW w:w="0" w:type="auto"/>
            <w:tcMar>
              <w:top w:w="96" w:type="dxa"/>
              <w:left w:w="0" w:type="dxa"/>
              <w:bottom w:w="0" w:type="dxa"/>
              <w:right w:w="360" w:type="dxa"/>
            </w:tcMar>
            <w:hideMark/>
          </w:tcPr>
          <w:p w14:paraId="3DD6E86A" w14:textId="77777777" w:rsidR="003D3AE7" w:rsidRPr="003D3AE7" w:rsidRDefault="003D3AE7" w:rsidP="003D3AE7">
            <w:pPr>
              <w:spacing w:after="0"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kern w:val="0"/>
                <w:sz w:val="24"/>
                <w:szCs w:val="24"/>
                <w:lang w:val="en-US" w:eastAsia="de-DE"/>
                <w14:ligatures w14:val="none"/>
              </w:rPr>
              <w:t> </w:t>
            </w:r>
          </w:p>
        </w:tc>
        <w:tc>
          <w:tcPr>
            <w:tcW w:w="0" w:type="auto"/>
            <w:noWrap/>
            <w:tcMar>
              <w:top w:w="96" w:type="dxa"/>
              <w:left w:w="0" w:type="dxa"/>
              <w:bottom w:w="0" w:type="dxa"/>
              <w:right w:w="360" w:type="dxa"/>
            </w:tcMar>
            <w:hideMark/>
          </w:tcPr>
          <w:p w14:paraId="789EEFBD"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16:15</w:t>
            </w:r>
          </w:p>
        </w:tc>
        <w:tc>
          <w:tcPr>
            <w:tcW w:w="0" w:type="auto"/>
            <w:noWrap/>
            <w:tcMar>
              <w:top w:w="96" w:type="dxa"/>
              <w:left w:w="0" w:type="dxa"/>
              <w:bottom w:w="0" w:type="dxa"/>
              <w:right w:w="360" w:type="dxa"/>
            </w:tcMar>
            <w:hideMark/>
          </w:tcPr>
          <w:p w14:paraId="04601F93"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p>
        </w:tc>
        <w:tc>
          <w:tcPr>
            <w:tcW w:w="5000" w:type="pct"/>
            <w:tcMar>
              <w:top w:w="96" w:type="dxa"/>
              <w:left w:w="0" w:type="dxa"/>
              <w:bottom w:w="0" w:type="dxa"/>
              <w:right w:w="360" w:type="dxa"/>
            </w:tcMar>
            <w:hideMark/>
          </w:tcPr>
          <w:p w14:paraId="76A7EBE4"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15 min. break</w:t>
            </w:r>
          </w:p>
        </w:tc>
      </w:tr>
      <w:tr w:rsidR="003D3AE7" w:rsidRPr="003D3AE7" w14:paraId="010305C4" w14:textId="77777777" w:rsidTr="003D3AE7">
        <w:trPr>
          <w:tblCellSpacing w:w="15" w:type="dxa"/>
        </w:trPr>
        <w:tc>
          <w:tcPr>
            <w:tcW w:w="0" w:type="auto"/>
            <w:tcMar>
              <w:top w:w="96" w:type="dxa"/>
              <w:left w:w="0" w:type="dxa"/>
              <w:bottom w:w="0" w:type="dxa"/>
              <w:right w:w="360" w:type="dxa"/>
            </w:tcMar>
            <w:hideMark/>
          </w:tcPr>
          <w:p w14:paraId="7405B9EC"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p>
        </w:tc>
        <w:tc>
          <w:tcPr>
            <w:tcW w:w="0" w:type="auto"/>
            <w:gridSpan w:val="3"/>
            <w:tcMar>
              <w:top w:w="96" w:type="dxa"/>
              <w:left w:w="0" w:type="dxa"/>
              <w:bottom w:w="0" w:type="dxa"/>
              <w:right w:w="360" w:type="dxa"/>
            </w:tcMar>
            <w:hideMark/>
          </w:tcPr>
          <w:p w14:paraId="1ABA8813" w14:textId="77777777" w:rsidR="003D3AE7" w:rsidRPr="003D3AE7" w:rsidRDefault="003D3AE7" w:rsidP="003D3AE7">
            <w:pPr>
              <w:spacing w:after="0" w:line="240" w:lineRule="auto"/>
              <w:rPr>
                <w:rFonts w:ascii="Times New Roman" w:eastAsia="Times New Roman" w:hAnsi="Times New Roman" w:cs="Times New Roman"/>
                <w:kern w:val="0"/>
                <w:sz w:val="20"/>
                <w:szCs w:val="20"/>
                <w:lang w:eastAsia="de-DE"/>
                <w14:ligatures w14:val="none"/>
              </w:rPr>
            </w:pPr>
          </w:p>
        </w:tc>
      </w:tr>
      <w:tr w:rsidR="003D3AE7" w:rsidRPr="003D3AE7" w14:paraId="14CF0E07" w14:textId="77777777" w:rsidTr="003D3AE7">
        <w:trPr>
          <w:tblCellSpacing w:w="15" w:type="dxa"/>
        </w:trPr>
        <w:tc>
          <w:tcPr>
            <w:tcW w:w="0" w:type="auto"/>
            <w:tcMar>
              <w:top w:w="96" w:type="dxa"/>
              <w:left w:w="0" w:type="dxa"/>
              <w:bottom w:w="0" w:type="dxa"/>
              <w:right w:w="360" w:type="dxa"/>
            </w:tcMar>
            <w:hideMark/>
          </w:tcPr>
          <w:p w14:paraId="6C00E0E7"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noProof/>
                <w:color w:val="363B90"/>
                <w:kern w:val="0"/>
                <w:sz w:val="24"/>
                <w:szCs w:val="24"/>
                <w:lang w:eastAsia="de-DE"/>
                <w14:ligatures w14:val="none"/>
              </w:rPr>
              <w:lastRenderedPageBreak/>
              <w:drawing>
                <wp:inline distT="0" distB="0" distL="0" distR="0" wp14:anchorId="1440B00F" wp14:editId="10AEDEF5">
                  <wp:extent cx="152400" cy="152400"/>
                  <wp:effectExtent l="0" t="0" r="0" b="0"/>
                  <wp:docPr id="10" name="Bild 10" descr="Ein Bild, das Kreis, Symbol, Logo, Design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0" descr="Ein Bild, das Kreis, Symbol, Logo, Design enthält.&#10;&#10;Automatisch generierte Beschreibung">
                            <a:hlinkClick r:id="rId21"/>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78C100AA"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16:30</w:t>
            </w:r>
          </w:p>
        </w:tc>
        <w:tc>
          <w:tcPr>
            <w:tcW w:w="0" w:type="auto"/>
            <w:noWrap/>
            <w:tcMar>
              <w:top w:w="96" w:type="dxa"/>
              <w:left w:w="0" w:type="dxa"/>
              <w:bottom w:w="0" w:type="dxa"/>
              <w:right w:w="360" w:type="dxa"/>
            </w:tcMar>
            <w:hideMark/>
          </w:tcPr>
          <w:p w14:paraId="1F438427"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AKE 1.5</w:t>
            </w:r>
          </w:p>
        </w:tc>
        <w:tc>
          <w:tcPr>
            <w:tcW w:w="5000" w:type="pct"/>
            <w:tcMar>
              <w:top w:w="96" w:type="dxa"/>
              <w:left w:w="0" w:type="dxa"/>
              <w:bottom w:w="0" w:type="dxa"/>
              <w:right w:w="360" w:type="dxa"/>
            </w:tcMar>
            <w:hideMark/>
          </w:tcPr>
          <w:p w14:paraId="7C319286" w14:textId="77777777" w:rsidR="003D3AE7" w:rsidRPr="003D3AE7" w:rsidRDefault="00000000" w:rsidP="003D3AE7">
            <w:pPr>
              <w:spacing w:after="0" w:line="240" w:lineRule="auto"/>
              <w:rPr>
                <w:rFonts w:ascii="Times New Roman" w:eastAsia="Times New Roman" w:hAnsi="Times New Roman" w:cs="Times New Roman"/>
                <w:kern w:val="0"/>
                <w:sz w:val="24"/>
                <w:szCs w:val="24"/>
                <w:lang w:eastAsia="de-DE"/>
                <w14:ligatures w14:val="none"/>
              </w:rPr>
            </w:pPr>
            <w:hyperlink r:id="rId22" w:history="1">
              <w:r w:rsidR="003D3AE7" w:rsidRPr="003D3AE7">
                <w:rPr>
                  <w:rFonts w:ascii="Times New Roman" w:eastAsia="Times New Roman" w:hAnsi="Times New Roman" w:cs="Times New Roman"/>
                  <w:color w:val="363B90"/>
                  <w:kern w:val="0"/>
                  <w:sz w:val="24"/>
                  <w:szCs w:val="24"/>
                  <w:u w:val="single"/>
                  <w:lang w:val="en-US" w:eastAsia="de-DE"/>
                  <w14:ligatures w14:val="none"/>
                </w:rPr>
                <w:t xml:space="preserve">Graphite intercalation of </w:t>
              </w:r>
              <w:proofErr w:type="spellStart"/>
              <w:r w:rsidR="003D3AE7" w:rsidRPr="003D3AE7">
                <w:rPr>
                  <w:rFonts w:ascii="Times New Roman" w:eastAsia="Times New Roman" w:hAnsi="Times New Roman" w:cs="Times New Roman"/>
                  <w:color w:val="363B90"/>
                  <w:kern w:val="0"/>
                  <w:sz w:val="24"/>
                  <w:szCs w:val="24"/>
                  <w:u w:val="single"/>
                  <w:lang w:val="en-US" w:eastAsia="de-DE"/>
                  <w14:ligatures w14:val="none"/>
                </w:rPr>
                <w:t>AlF</w:t>
              </w:r>
              <w:r w:rsidR="003D3AE7" w:rsidRPr="003D3AE7">
                <w:rPr>
                  <w:rFonts w:ascii="Times New Roman" w:eastAsia="Times New Roman" w:hAnsi="Times New Roman" w:cs="Times New Roman"/>
                  <w:color w:val="363B90"/>
                  <w:kern w:val="0"/>
                  <w:sz w:val="24"/>
                  <w:szCs w:val="24"/>
                  <w:u w:val="single"/>
                  <w:vertAlign w:val="subscript"/>
                  <w:lang w:val="en-US" w:eastAsia="de-DE"/>
                  <w14:ligatures w14:val="none"/>
                </w:rPr>
                <w:t>3</w:t>
              </w:r>
              <w:proofErr w:type="spellEnd"/>
              <w:r w:rsidR="003D3AE7" w:rsidRPr="003D3AE7">
                <w:rPr>
                  <w:rFonts w:ascii="Times New Roman" w:eastAsia="Times New Roman" w:hAnsi="Times New Roman" w:cs="Times New Roman"/>
                  <w:color w:val="363B90"/>
                  <w:kern w:val="0"/>
                  <w:sz w:val="24"/>
                  <w:szCs w:val="24"/>
                  <w:u w:val="single"/>
                  <w:lang w:val="en-US" w:eastAsia="de-DE"/>
                  <w14:ligatures w14:val="none"/>
                </w:rPr>
                <w:t>: in-plane and interlayer interactions</w:t>
              </w:r>
            </w:hyperlink>
            <w:r w:rsidR="003D3AE7" w:rsidRPr="003D3AE7">
              <w:rPr>
                <w:rFonts w:ascii="Times New Roman" w:eastAsia="Times New Roman" w:hAnsi="Times New Roman" w:cs="Times New Roman"/>
                <w:kern w:val="0"/>
                <w:sz w:val="24"/>
                <w:szCs w:val="24"/>
                <w:lang w:val="en-US" w:eastAsia="de-DE"/>
                <w14:ligatures w14:val="none"/>
              </w:rPr>
              <w:t> — •</w:t>
            </w:r>
            <w:r w:rsidR="003D3AE7" w:rsidRPr="003D3AE7">
              <w:rPr>
                <w:rFonts w:ascii="Times New Roman" w:eastAsia="Times New Roman" w:hAnsi="Times New Roman" w:cs="Times New Roman"/>
                <w:smallCaps/>
                <w:kern w:val="0"/>
                <w:sz w:val="24"/>
                <w:szCs w:val="24"/>
                <w:lang w:val="en-US" w:eastAsia="de-DE"/>
                <w14:ligatures w14:val="none"/>
              </w:rPr>
              <w:t>Sindy J. Rodriguez</w:t>
            </w:r>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Adriana E. Candia</w:t>
            </w:r>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Igor Stanković</w:t>
            </w:r>
            <w:r w:rsidR="003D3AE7" w:rsidRPr="003D3AE7">
              <w:rPr>
                <w:rFonts w:ascii="Times New Roman" w:eastAsia="Times New Roman" w:hAnsi="Times New Roman" w:cs="Times New Roman"/>
                <w:kern w:val="0"/>
                <w:sz w:val="24"/>
                <w:szCs w:val="24"/>
                <w:lang w:val="en-US" w:eastAsia="de-DE"/>
                <w14:ligatures w14:val="none"/>
              </w:rPr>
              <w:t>, </w:t>
            </w:r>
            <w:r w:rsidR="003D3AE7" w:rsidRPr="003D3AE7">
              <w:rPr>
                <w:rFonts w:ascii="Times New Roman" w:eastAsia="Times New Roman" w:hAnsi="Times New Roman" w:cs="Times New Roman"/>
                <w:smallCaps/>
                <w:kern w:val="0"/>
                <w:sz w:val="24"/>
                <w:szCs w:val="24"/>
                <w:lang w:val="en-US" w:eastAsia="de-DE"/>
                <w14:ligatures w14:val="none"/>
              </w:rPr>
              <w:t xml:space="preserve">Mario C.G. Jr. </w:t>
            </w:r>
            <w:proofErr w:type="spellStart"/>
            <w:r w:rsidR="003D3AE7" w:rsidRPr="003D3AE7">
              <w:rPr>
                <w:rFonts w:ascii="Times New Roman" w:eastAsia="Times New Roman" w:hAnsi="Times New Roman" w:cs="Times New Roman"/>
                <w:smallCaps/>
                <w:kern w:val="0"/>
                <w:sz w:val="24"/>
                <w:szCs w:val="24"/>
                <w:lang w:eastAsia="de-DE"/>
                <w14:ligatures w14:val="none"/>
              </w:rPr>
              <w:t>Passeggi</w:t>
            </w:r>
            <w:proofErr w:type="spellEnd"/>
            <w:r w:rsidR="003D3AE7" w:rsidRPr="003D3AE7">
              <w:rPr>
                <w:rFonts w:ascii="Times New Roman" w:eastAsia="Times New Roman" w:hAnsi="Times New Roman" w:cs="Times New Roman"/>
                <w:kern w:val="0"/>
                <w:sz w:val="24"/>
                <w:szCs w:val="24"/>
                <w:lang w:eastAsia="de-DE"/>
                <w14:ligatures w14:val="none"/>
              </w:rPr>
              <w:t>, and </w:t>
            </w:r>
            <w:r w:rsidR="003D3AE7" w:rsidRPr="003D3AE7">
              <w:rPr>
                <w:rFonts w:ascii="Times New Roman" w:eastAsia="Times New Roman" w:hAnsi="Times New Roman" w:cs="Times New Roman"/>
                <w:smallCaps/>
                <w:kern w:val="0"/>
                <w:sz w:val="24"/>
                <w:szCs w:val="24"/>
                <w:lang w:eastAsia="de-DE"/>
                <w14:ligatures w14:val="none"/>
              </w:rPr>
              <w:t>Gustavo Ruano</w:t>
            </w:r>
          </w:p>
        </w:tc>
      </w:tr>
      <w:tr w:rsidR="003D3AE7" w:rsidRPr="003D3AE7" w14:paraId="19D7F88F" w14:textId="77777777" w:rsidTr="003D3AE7">
        <w:trPr>
          <w:tblCellSpacing w:w="15" w:type="dxa"/>
        </w:trPr>
        <w:tc>
          <w:tcPr>
            <w:tcW w:w="0" w:type="auto"/>
            <w:tcMar>
              <w:top w:w="96" w:type="dxa"/>
              <w:left w:w="0" w:type="dxa"/>
              <w:bottom w:w="0" w:type="dxa"/>
              <w:right w:w="360" w:type="dxa"/>
            </w:tcMar>
            <w:hideMark/>
          </w:tcPr>
          <w:p w14:paraId="6659D305"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p>
        </w:tc>
        <w:tc>
          <w:tcPr>
            <w:tcW w:w="0" w:type="auto"/>
            <w:gridSpan w:val="3"/>
            <w:tcMar>
              <w:top w:w="96" w:type="dxa"/>
              <w:left w:w="0" w:type="dxa"/>
              <w:bottom w:w="0" w:type="dxa"/>
              <w:right w:w="360" w:type="dxa"/>
            </w:tcMar>
            <w:hideMark/>
          </w:tcPr>
          <w:p w14:paraId="1F0154AA" w14:textId="77777777" w:rsidR="003D3AE7" w:rsidRPr="003D3AE7" w:rsidRDefault="003D3AE7" w:rsidP="003D3AE7">
            <w:pPr>
              <w:pBdr>
                <w:bottom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Formularbeginn</w:t>
            </w:r>
          </w:p>
          <w:p w14:paraId="1119BC2D" w14:textId="03FFB7F5"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                 </w:t>
            </w:r>
            <w:r w:rsidRPr="003D3AE7">
              <w:rPr>
                <w:rFonts w:ascii="Times New Roman" w:eastAsia="Times New Roman" w:hAnsi="Times New Roman" w:cs="Times New Roman"/>
                <w:noProof/>
                <w:kern w:val="0"/>
                <w:sz w:val="24"/>
                <w:szCs w:val="24"/>
                <w:lang w:eastAsia="de-DE"/>
                <w14:ligatures w14:val="none"/>
              </w:rPr>
              <w:drawing>
                <wp:inline distT="0" distB="0" distL="0" distR="0" wp14:anchorId="1FAC16A0" wp14:editId="27ECC5C1">
                  <wp:extent cx="152400" cy="1524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54C997" w14:textId="77777777" w:rsidR="003D3AE7" w:rsidRPr="003D3AE7" w:rsidRDefault="003D3AE7" w:rsidP="003D3AE7">
            <w:pPr>
              <w:pBdr>
                <w:top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Formularende</w:t>
            </w:r>
          </w:p>
          <w:p w14:paraId="45DC11F2" w14:textId="77777777" w:rsidR="009F043D"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b/>
                <w:bCs/>
                <w:kern w:val="0"/>
                <w:sz w:val="24"/>
                <w:szCs w:val="24"/>
                <w:lang w:val="en-US" w:eastAsia="de-DE"/>
                <w14:ligatures w14:val="none"/>
              </w:rPr>
              <w:t xml:space="preserve">Graphite intercalation of </w:t>
            </w:r>
            <w:proofErr w:type="spellStart"/>
            <w:r w:rsidRPr="003D3AE7">
              <w:rPr>
                <w:rFonts w:ascii="Times New Roman" w:eastAsia="Times New Roman" w:hAnsi="Times New Roman" w:cs="Times New Roman"/>
                <w:b/>
                <w:bCs/>
                <w:kern w:val="0"/>
                <w:sz w:val="24"/>
                <w:szCs w:val="24"/>
                <w:lang w:val="en-US" w:eastAsia="de-DE"/>
                <w14:ligatures w14:val="none"/>
              </w:rPr>
              <w:t>AlF</w:t>
            </w:r>
            <w:r w:rsidRPr="003D3AE7">
              <w:rPr>
                <w:rFonts w:ascii="Times New Roman" w:eastAsia="Times New Roman" w:hAnsi="Times New Roman" w:cs="Times New Roman"/>
                <w:kern w:val="0"/>
                <w:sz w:val="24"/>
                <w:szCs w:val="24"/>
                <w:vertAlign w:val="subscript"/>
                <w:lang w:val="en-US" w:eastAsia="de-DE"/>
                <w14:ligatures w14:val="none"/>
              </w:rPr>
              <w:t>3</w:t>
            </w:r>
            <w:proofErr w:type="spellEnd"/>
            <w:r w:rsidRPr="003D3AE7">
              <w:rPr>
                <w:rFonts w:ascii="Times New Roman" w:eastAsia="Times New Roman" w:hAnsi="Times New Roman" w:cs="Times New Roman"/>
                <w:b/>
                <w:bCs/>
                <w:kern w:val="0"/>
                <w:sz w:val="24"/>
                <w:szCs w:val="24"/>
                <w:lang w:val="en-US" w:eastAsia="de-DE"/>
                <w14:ligatures w14:val="none"/>
              </w:rPr>
              <w:t>: in-plane and interlayer interactions</w:t>
            </w:r>
            <w:r w:rsidRPr="003D3AE7">
              <w:rPr>
                <w:rFonts w:ascii="Times New Roman" w:eastAsia="Times New Roman" w:hAnsi="Times New Roman" w:cs="Times New Roman"/>
                <w:kern w:val="0"/>
                <w:sz w:val="24"/>
                <w:szCs w:val="24"/>
                <w:lang w:val="en-US" w:eastAsia="de-DE"/>
                <w14:ligatures w14:val="none"/>
              </w:rPr>
              <w:t> — •</w:t>
            </w:r>
            <w:r w:rsidRPr="003D3AE7">
              <w:rPr>
                <w:rFonts w:ascii="Times New Roman" w:eastAsia="Times New Roman" w:hAnsi="Times New Roman" w:cs="Times New Roman"/>
                <w:smallCaps/>
                <w:kern w:val="0"/>
                <w:sz w:val="24"/>
                <w:szCs w:val="24"/>
                <w:lang w:val="en-US" w:eastAsia="de-DE"/>
                <w14:ligatures w14:val="none"/>
              </w:rPr>
              <w:t xml:space="preserve">Sindy J. </w:t>
            </w:r>
            <w:proofErr w:type="spellStart"/>
            <w:r w:rsidRPr="003D3AE7">
              <w:rPr>
                <w:rFonts w:ascii="Times New Roman" w:eastAsia="Times New Roman" w:hAnsi="Times New Roman" w:cs="Times New Roman"/>
                <w:smallCaps/>
                <w:kern w:val="0"/>
                <w:sz w:val="24"/>
                <w:szCs w:val="24"/>
                <w:lang w:val="en-US" w:eastAsia="de-DE"/>
                <w14:ligatures w14:val="none"/>
              </w:rPr>
              <w:t>Rodriguez</w:t>
            </w:r>
            <w:r w:rsidRPr="003D3AE7">
              <w:rPr>
                <w:rFonts w:ascii="Times New Roman" w:eastAsia="Times New Roman" w:hAnsi="Times New Roman" w:cs="Times New Roman"/>
                <w:kern w:val="0"/>
                <w:sz w:val="24"/>
                <w:szCs w:val="24"/>
                <w:vertAlign w:val="superscript"/>
                <w:lang w:val="en-US" w:eastAsia="de-DE"/>
                <w14:ligatures w14:val="none"/>
              </w:rPr>
              <w:t>1</w:t>
            </w:r>
            <w:proofErr w:type="spellEnd"/>
            <w:r w:rsidRPr="003D3AE7">
              <w:rPr>
                <w:rFonts w:ascii="Times New Roman" w:eastAsia="Times New Roman" w:hAnsi="Times New Roman" w:cs="Times New Roman"/>
                <w:kern w:val="0"/>
                <w:sz w:val="24"/>
                <w:szCs w:val="24"/>
                <w:lang w:val="en-US" w:eastAsia="de-DE"/>
                <w14:ligatures w14:val="none"/>
              </w:rPr>
              <w:t>, </w:t>
            </w:r>
            <w:r w:rsidRPr="003D3AE7">
              <w:rPr>
                <w:rFonts w:ascii="Times New Roman" w:eastAsia="Times New Roman" w:hAnsi="Times New Roman" w:cs="Times New Roman"/>
                <w:smallCaps/>
                <w:kern w:val="0"/>
                <w:sz w:val="24"/>
                <w:szCs w:val="24"/>
                <w:lang w:val="en-US" w:eastAsia="de-DE"/>
                <w14:ligatures w14:val="none"/>
              </w:rPr>
              <w:t xml:space="preserve">Adriana E. </w:t>
            </w:r>
            <w:proofErr w:type="spellStart"/>
            <w:r w:rsidRPr="003D3AE7">
              <w:rPr>
                <w:rFonts w:ascii="Times New Roman" w:eastAsia="Times New Roman" w:hAnsi="Times New Roman" w:cs="Times New Roman"/>
                <w:smallCaps/>
                <w:kern w:val="0"/>
                <w:sz w:val="24"/>
                <w:szCs w:val="24"/>
                <w:lang w:val="en-US" w:eastAsia="de-DE"/>
                <w14:ligatures w14:val="none"/>
              </w:rPr>
              <w:t>Candia</w:t>
            </w:r>
            <w:r w:rsidRPr="003D3AE7">
              <w:rPr>
                <w:rFonts w:ascii="Times New Roman" w:eastAsia="Times New Roman" w:hAnsi="Times New Roman" w:cs="Times New Roman"/>
                <w:kern w:val="0"/>
                <w:sz w:val="24"/>
                <w:szCs w:val="24"/>
                <w:vertAlign w:val="superscript"/>
                <w:lang w:val="en-US" w:eastAsia="de-DE"/>
                <w14:ligatures w14:val="none"/>
              </w:rPr>
              <w:t>1</w:t>
            </w:r>
            <w:proofErr w:type="spellEnd"/>
            <w:r w:rsidRPr="003D3AE7">
              <w:rPr>
                <w:rFonts w:ascii="Times New Roman" w:eastAsia="Times New Roman" w:hAnsi="Times New Roman" w:cs="Times New Roman"/>
                <w:kern w:val="0"/>
                <w:sz w:val="24"/>
                <w:szCs w:val="24"/>
                <w:lang w:val="en-US" w:eastAsia="de-DE"/>
                <w14:ligatures w14:val="none"/>
              </w:rPr>
              <w:t>, </w:t>
            </w:r>
            <w:r w:rsidRPr="003D3AE7">
              <w:rPr>
                <w:rFonts w:ascii="Times New Roman" w:eastAsia="Times New Roman" w:hAnsi="Times New Roman" w:cs="Times New Roman"/>
                <w:smallCaps/>
                <w:kern w:val="0"/>
                <w:sz w:val="24"/>
                <w:szCs w:val="24"/>
                <w:lang w:val="en-US" w:eastAsia="de-DE"/>
                <w14:ligatures w14:val="none"/>
              </w:rPr>
              <w:t xml:space="preserve">Igor </w:t>
            </w:r>
            <w:proofErr w:type="spellStart"/>
            <w:r w:rsidRPr="003D3AE7">
              <w:rPr>
                <w:rFonts w:ascii="Times New Roman" w:eastAsia="Times New Roman" w:hAnsi="Times New Roman" w:cs="Times New Roman"/>
                <w:smallCaps/>
                <w:kern w:val="0"/>
                <w:sz w:val="24"/>
                <w:szCs w:val="24"/>
                <w:lang w:val="en-US" w:eastAsia="de-DE"/>
                <w14:ligatures w14:val="none"/>
              </w:rPr>
              <w:t>Stanković</w:t>
            </w:r>
            <w:r w:rsidRPr="003D3AE7">
              <w:rPr>
                <w:rFonts w:ascii="Times New Roman" w:eastAsia="Times New Roman" w:hAnsi="Times New Roman" w:cs="Times New Roman"/>
                <w:kern w:val="0"/>
                <w:sz w:val="24"/>
                <w:szCs w:val="24"/>
                <w:vertAlign w:val="superscript"/>
                <w:lang w:val="en-US" w:eastAsia="de-DE"/>
                <w14:ligatures w14:val="none"/>
              </w:rPr>
              <w:t>2</w:t>
            </w:r>
            <w:proofErr w:type="spellEnd"/>
            <w:r w:rsidRPr="003D3AE7">
              <w:rPr>
                <w:rFonts w:ascii="Times New Roman" w:eastAsia="Times New Roman" w:hAnsi="Times New Roman" w:cs="Times New Roman"/>
                <w:kern w:val="0"/>
                <w:sz w:val="24"/>
                <w:szCs w:val="24"/>
                <w:lang w:val="en-US" w:eastAsia="de-DE"/>
                <w14:ligatures w14:val="none"/>
              </w:rPr>
              <w:t>, </w:t>
            </w:r>
            <w:r w:rsidRPr="003D3AE7">
              <w:rPr>
                <w:rFonts w:ascii="Times New Roman" w:eastAsia="Times New Roman" w:hAnsi="Times New Roman" w:cs="Times New Roman"/>
                <w:smallCaps/>
                <w:kern w:val="0"/>
                <w:sz w:val="24"/>
                <w:szCs w:val="24"/>
                <w:lang w:val="en-US" w:eastAsia="de-DE"/>
                <w14:ligatures w14:val="none"/>
              </w:rPr>
              <w:t xml:space="preserve">Mario C.G. Jr. </w:t>
            </w:r>
            <w:proofErr w:type="spellStart"/>
            <w:r w:rsidRPr="003D3AE7">
              <w:rPr>
                <w:rFonts w:ascii="Times New Roman" w:eastAsia="Times New Roman" w:hAnsi="Times New Roman" w:cs="Times New Roman"/>
                <w:smallCaps/>
                <w:kern w:val="0"/>
                <w:sz w:val="24"/>
                <w:szCs w:val="24"/>
                <w:lang w:val="en-US" w:eastAsia="de-DE"/>
                <w14:ligatures w14:val="none"/>
              </w:rPr>
              <w:t>Passeggi</w:t>
            </w:r>
            <w:r w:rsidRPr="003D3AE7">
              <w:rPr>
                <w:rFonts w:ascii="Times New Roman" w:eastAsia="Times New Roman" w:hAnsi="Times New Roman" w:cs="Times New Roman"/>
                <w:kern w:val="0"/>
                <w:sz w:val="24"/>
                <w:szCs w:val="24"/>
                <w:vertAlign w:val="superscript"/>
                <w:lang w:val="en-US" w:eastAsia="de-DE"/>
                <w14:ligatures w14:val="none"/>
              </w:rPr>
              <w:t>1</w:t>
            </w:r>
            <w:proofErr w:type="spellEnd"/>
            <w:r w:rsidRPr="003D3AE7">
              <w:rPr>
                <w:rFonts w:ascii="Times New Roman" w:eastAsia="Times New Roman" w:hAnsi="Times New Roman" w:cs="Times New Roman"/>
                <w:kern w:val="0"/>
                <w:sz w:val="24"/>
                <w:szCs w:val="24"/>
                <w:lang w:val="en-US" w:eastAsia="de-DE"/>
                <w14:ligatures w14:val="none"/>
              </w:rPr>
              <w:t>, and </w:t>
            </w:r>
            <w:r w:rsidRPr="003D3AE7">
              <w:rPr>
                <w:rFonts w:ascii="Times New Roman" w:eastAsia="Times New Roman" w:hAnsi="Times New Roman" w:cs="Times New Roman"/>
                <w:smallCaps/>
                <w:kern w:val="0"/>
                <w:sz w:val="24"/>
                <w:szCs w:val="24"/>
                <w:lang w:val="en-US" w:eastAsia="de-DE"/>
                <w14:ligatures w14:val="none"/>
              </w:rPr>
              <w:t xml:space="preserve">Gustavo </w:t>
            </w:r>
            <w:proofErr w:type="spellStart"/>
            <w:r w:rsidRPr="003D3AE7">
              <w:rPr>
                <w:rFonts w:ascii="Times New Roman" w:eastAsia="Times New Roman" w:hAnsi="Times New Roman" w:cs="Times New Roman"/>
                <w:smallCaps/>
                <w:kern w:val="0"/>
                <w:sz w:val="24"/>
                <w:szCs w:val="24"/>
                <w:lang w:val="en-US" w:eastAsia="de-DE"/>
                <w14:ligatures w14:val="none"/>
              </w:rPr>
              <w:t>Ruano</w:t>
            </w:r>
            <w:r w:rsidRPr="003D3AE7">
              <w:rPr>
                <w:rFonts w:ascii="Times New Roman" w:eastAsia="Times New Roman" w:hAnsi="Times New Roman" w:cs="Times New Roman"/>
                <w:kern w:val="0"/>
                <w:sz w:val="24"/>
                <w:szCs w:val="24"/>
                <w:vertAlign w:val="superscript"/>
                <w:lang w:val="en-US" w:eastAsia="de-DE"/>
                <w14:ligatures w14:val="none"/>
              </w:rPr>
              <w:t>3</w:t>
            </w:r>
            <w:proofErr w:type="spellEnd"/>
            <w:r w:rsidRPr="003D3AE7">
              <w:rPr>
                <w:rFonts w:ascii="Times New Roman" w:eastAsia="Times New Roman" w:hAnsi="Times New Roman" w:cs="Times New Roman"/>
                <w:kern w:val="0"/>
                <w:sz w:val="24"/>
                <w:szCs w:val="24"/>
                <w:lang w:val="en-US" w:eastAsia="de-DE"/>
                <w14:ligatures w14:val="none"/>
              </w:rPr>
              <w:t> —</w:t>
            </w:r>
          </w:p>
          <w:p w14:paraId="06C66506" w14:textId="0440D29A"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kern w:val="0"/>
                <w:sz w:val="24"/>
                <w:szCs w:val="24"/>
                <w:lang w:val="en-US" w:eastAsia="de-DE"/>
                <w14:ligatures w14:val="none"/>
              </w:rPr>
              <w:t> </w:t>
            </w:r>
            <w:proofErr w:type="spellStart"/>
            <w:r w:rsidRPr="003D3AE7">
              <w:rPr>
                <w:rFonts w:ascii="Times New Roman" w:eastAsia="Times New Roman" w:hAnsi="Times New Roman" w:cs="Times New Roman"/>
                <w:kern w:val="0"/>
                <w:sz w:val="24"/>
                <w:szCs w:val="24"/>
                <w:vertAlign w:val="superscript"/>
                <w:lang w:val="en-US" w:eastAsia="de-DE"/>
                <w14:ligatures w14:val="none"/>
              </w:rPr>
              <w:t>1</w:t>
            </w:r>
            <w:r w:rsidRPr="003D3AE7">
              <w:rPr>
                <w:rFonts w:ascii="Times New Roman" w:eastAsia="Times New Roman" w:hAnsi="Times New Roman" w:cs="Times New Roman"/>
                <w:kern w:val="0"/>
                <w:sz w:val="24"/>
                <w:szCs w:val="24"/>
                <w:lang w:val="en-US" w:eastAsia="de-DE"/>
                <w14:ligatures w14:val="none"/>
              </w:rPr>
              <w:t>Instituto</w:t>
            </w:r>
            <w:proofErr w:type="spellEnd"/>
            <w:r w:rsidRPr="003D3AE7">
              <w:rPr>
                <w:rFonts w:ascii="Times New Roman" w:eastAsia="Times New Roman" w:hAnsi="Times New Roman" w:cs="Times New Roman"/>
                <w:kern w:val="0"/>
                <w:sz w:val="24"/>
                <w:szCs w:val="24"/>
                <w:lang w:val="en-US" w:eastAsia="de-DE"/>
                <w14:ligatures w14:val="none"/>
              </w:rPr>
              <w:t xml:space="preserve"> de </w:t>
            </w:r>
            <w:proofErr w:type="spellStart"/>
            <w:r w:rsidRPr="003D3AE7">
              <w:rPr>
                <w:rFonts w:ascii="Times New Roman" w:eastAsia="Times New Roman" w:hAnsi="Times New Roman" w:cs="Times New Roman"/>
                <w:kern w:val="0"/>
                <w:sz w:val="24"/>
                <w:szCs w:val="24"/>
                <w:lang w:val="en-US" w:eastAsia="de-DE"/>
                <w14:ligatures w14:val="none"/>
              </w:rPr>
              <w:t>Física</w:t>
            </w:r>
            <w:proofErr w:type="spellEnd"/>
            <w:r w:rsidRPr="003D3AE7">
              <w:rPr>
                <w:rFonts w:ascii="Times New Roman" w:eastAsia="Times New Roman" w:hAnsi="Times New Roman" w:cs="Times New Roman"/>
                <w:kern w:val="0"/>
                <w:sz w:val="24"/>
                <w:szCs w:val="24"/>
                <w:lang w:val="en-US" w:eastAsia="de-DE"/>
                <w14:ligatures w14:val="none"/>
              </w:rPr>
              <w:t xml:space="preserve"> del </w:t>
            </w:r>
            <w:proofErr w:type="spellStart"/>
            <w:r w:rsidRPr="003D3AE7">
              <w:rPr>
                <w:rFonts w:ascii="Times New Roman" w:eastAsia="Times New Roman" w:hAnsi="Times New Roman" w:cs="Times New Roman"/>
                <w:kern w:val="0"/>
                <w:sz w:val="24"/>
                <w:szCs w:val="24"/>
                <w:lang w:val="en-US" w:eastAsia="de-DE"/>
                <w14:ligatures w14:val="none"/>
              </w:rPr>
              <w:t>Litoral</w:t>
            </w:r>
            <w:proofErr w:type="spellEnd"/>
            <w:r w:rsidRPr="003D3AE7">
              <w:rPr>
                <w:rFonts w:ascii="Times New Roman" w:eastAsia="Times New Roman" w:hAnsi="Times New Roman" w:cs="Times New Roman"/>
                <w:kern w:val="0"/>
                <w:sz w:val="24"/>
                <w:szCs w:val="24"/>
                <w:lang w:val="en-US" w:eastAsia="de-DE"/>
                <w14:ligatures w14:val="none"/>
              </w:rPr>
              <w:t xml:space="preserve">, Consejo Nacional de </w:t>
            </w:r>
            <w:proofErr w:type="spellStart"/>
            <w:r w:rsidRPr="003D3AE7">
              <w:rPr>
                <w:rFonts w:ascii="Times New Roman" w:eastAsia="Times New Roman" w:hAnsi="Times New Roman" w:cs="Times New Roman"/>
                <w:kern w:val="0"/>
                <w:sz w:val="24"/>
                <w:szCs w:val="24"/>
                <w:lang w:val="en-US" w:eastAsia="de-DE"/>
                <w14:ligatures w14:val="none"/>
              </w:rPr>
              <w:t>Investigaciones</w:t>
            </w:r>
            <w:proofErr w:type="spellEnd"/>
            <w:r w:rsidRPr="003D3AE7">
              <w:rPr>
                <w:rFonts w:ascii="Times New Roman" w:eastAsia="Times New Roman" w:hAnsi="Times New Roman" w:cs="Times New Roman"/>
                <w:kern w:val="0"/>
                <w:sz w:val="24"/>
                <w:szCs w:val="24"/>
                <w:lang w:val="en-US" w:eastAsia="de-DE"/>
                <w14:ligatures w14:val="none"/>
              </w:rPr>
              <w:t xml:space="preserve"> </w:t>
            </w:r>
            <w:proofErr w:type="spellStart"/>
            <w:r w:rsidRPr="003D3AE7">
              <w:rPr>
                <w:rFonts w:ascii="Times New Roman" w:eastAsia="Times New Roman" w:hAnsi="Times New Roman" w:cs="Times New Roman"/>
                <w:kern w:val="0"/>
                <w:sz w:val="24"/>
                <w:szCs w:val="24"/>
                <w:lang w:val="en-US" w:eastAsia="de-DE"/>
                <w14:ligatures w14:val="none"/>
              </w:rPr>
              <w:t>Científicas</w:t>
            </w:r>
            <w:proofErr w:type="spellEnd"/>
            <w:r w:rsidRPr="003D3AE7">
              <w:rPr>
                <w:rFonts w:ascii="Times New Roman" w:eastAsia="Times New Roman" w:hAnsi="Times New Roman" w:cs="Times New Roman"/>
                <w:kern w:val="0"/>
                <w:sz w:val="24"/>
                <w:szCs w:val="24"/>
                <w:lang w:val="en-US" w:eastAsia="de-DE"/>
                <w14:ligatures w14:val="none"/>
              </w:rPr>
              <w:t xml:space="preserve"> y </w:t>
            </w:r>
            <w:proofErr w:type="spellStart"/>
            <w:r w:rsidRPr="003D3AE7">
              <w:rPr>
                <w:rFonts w:ascii="Times New Roman" w:eastAsia="Times New Roman" w:hAnsi="Times New Roman" w:cs="Times New Roman"/>
                <w:kern w:val="0"/>
                <w:sz w:val="24"/>
                <w:szCs w:val="24"/>
                <w:lang w:val="en-US" w:eastAsia="de-DE"/>
                <w14:ligatures w14:val="none"/>
              </w:rPr>
              <w:t>Técnicas</w:t>
            </w:r>
            <w:proofErr w:type="spellEnd"/>
            <w:r w:rsidRPr="003D3AE7">
              <w:rPr>
                <w:rFonts w:ascii="Times New Roman" w:eastAsia="Times New Roman" w:hAnsi="Times New Roman" w:cs="Times New Roman"/>
                <w:kern w:val="0"/>
                <w:sz w:val="24"/>
                <w:szCs w:val="24"/>
                <w:lang w:val="en-US" w:eastAsia="de-DE"/>
                <w14:ligatures w14:val="none"/>
              </w:rPr>
              <w:t xml:space="preserve"> y Universidad Nacional del </w:t>
            </w:r>
            <w:proofErr w:type="spellStart"/>
            <w:r w:rsidRPr="003D3AE7">
              <w:rPr>
                <w:rFonts w:ascii="Times New Roman" w:eastAsia="Times New Roman" w:hAnsi="Times New Roman" w:cs="Times New Roman"/>
                <w:kern w:val="0"/>
                <w:sz w:val="24"/>
                <w:szCs w:val="24"/>
                <w:lang w:val="en-US" w:eastAsia="de-DE"/>
                <w14:ligatures w14:val="none"/>
              </w:rPr>
              <w:t>Litoral</w:t>
            </w:r>
            <w:proofErr w:type="spellEnd"/>
            <w:r w:rsidRPr="003D3AE7">
              <w:rPr>
                <w:rFonts w:ascii="Times New Roman" w:eastAsia="Times New Roman" w:hAnsi="Times New Roman" w:cs="Times New Roman"/>
                <w:kern w:val="0"/>
                <w:sz w:val="24"/>
                <w:szCs w:val="24"/>
                <w:lang w:val="en-US" w:eastAsia="de-DE"/>
                <w14:ligatures w14:val="none"/>
              </w:rPr>
              <w:t xml:space="preserve"> (</w:t>
            </w:r>
            <w:proofErr w:type="spellStart"/>
            <w:r w:rsidRPr="003D3AE7">
              <w:rPr>
                <w:rFonts w:ascii="Times New Roman" w:eastAsia="Times New Roman" w:hAnsi="Times New Roman" w:cs="Times New Roman"/>
                <w:kern w:val="0"/>
                <w:sz w:val="24"/>
                <w:szCs w:val="24"/>
                <w:lang w:val="en-US" w:eastAsia="de-DE"/>
                <w14:ligatures w14:val="none"/>
              </w:rPr>
              <w:t>IFIS-Litoral</w:t>
            </w:r>
            <w:proofErr w:type="spellEnd"/>
            <w:r w:rsidRPr="003D3AE7">
              <w:rPr>
                <w:rFonts w:ascii="Times New Roman" w:eastAsia="Times New Roman" w:hAnsi="Times New Roman" w:cs="Times New Roman"/>
                <w:kern w:val="0"/>
                <w:sz w:val="24"/>
                <w:szCs w:val="24"/>
                <w:lang w:val="en-US" w:eastAsia="de-DE"/>
                <w14:ligatures w14:val="none"/>
              </w:rPr>
              <w:t xml:space="preserve">, </w:t>
            </w:r>
            <w:proofErr w:type="spellStart"/>
            <w:r w:rsidRPr="003D3AE7">
              <w:rPr>
                <w:rFonts w:ascii="Times New Roman" w:eastAsia="Times New Roman" w:hAnsi="Times New Roman" w:cs="Times New Roman"/>
                <w:kern w:val="0"/>
                <w:sz w:val="24"/>
                <w:szCs w:val="24"/>
                <w:lang w:val="en-US" w:eastAsia="de-DE"/>
                <w14:ligatures w14:val="none"/>
              </w:rPr>
              <w:t>CONICET</w:t>
            </w:r>
            <w:proofErr w:type="spellEnd"/>
            <w:r w:rsidRPr="003D3AE7">
              <w:rPr>
                <w:rFonts w:ascii="Times New Roman" w:eastAsia="Times New Roman" w:hAnsi="Times New Roman" w:cs="Times New Roman"/>
                <w:kern w:val="0"/>
                <w:sz w:val="24"/>
                <w:szCs w:val="24"/>
                <w:lang w:val="en-US" w:eastAsia="de-DE"/>
                <w14:ligatures w14:val="none"/>
              </w:rPr>
              <w:t>-UNL) Santa Fe, Argentina — </w:t>
            </w:r>
            <w:proofErr w:type="spellStart"/>
            <w:r w:rsidRPr="003D3AE7">
              <w:rPr>
                <w:rFonts w:ascii="Times New Roman" w:eastAsia="Times New Roman" w:hAnsi="Times New Roman" w:cs="Times New Roman"/>
                <w:kern w:val="0"/>
                <w:sz w:val="24"/>
                <w:szCs w:val="24"/>
                <w:vertAlign w:val="superscript"/>
                <w:lang w:val="en-US" w:eastAsia="de-DE"/>
                <w14:ligatures w14:val="none"/>
              </w:rPr>
              <w:t>2</w:t>
            </w:r>
            <w:r w:rsidRPr="003D3AE7">
              <w:rPr>
                <w:rFonts w:ascii="Times New Roman" w:eastAsia="Times New Roman" w:hAnsi="Times New Roman" w:cs="Times New Roman"/>
                <w:kern w:val="0"/>
                <w:sz w:val="24"/>
                <w:szCs w:val="24"/>
                <w:lang w:val="en-US" w:eastAsia="de-DE"/>
                <w14:ligatures w14:val="none"/>
              </w:rPr>
              <w:t>Scientific</w:t>
            </w:r>
            <w:proofErr w:type="spellEnd"/>
            <w:r w:rsidRPr="003D3AE7">
              <w:rPr>
                <w:rFonts w:ascii="Times New Roman" w:eastAsia="Times New Roman" w:hAnsi="Times New Roman" w:cs="Times New Roman"/>
                <w:kern w:val="0"/>
                <w:sz w:val="24"/>
                <w:szCs w:val="24"/>
                <w:lang w:val="en-US" w:eastAsia="de-DE"/>
                <w14:ligatures w14:val="none"/>
              </w:rPr>
              <w:t xml:space="preserve"> Computing Laboratory, Center for the Study of Complex Systems, Institute of Physics Belgrade, University of Belgrade, 11080 Belgrade, Serbia — </w:t>
            </w:r>
            <w:proofErr w:type="spellStart"/>
            <w:r w:rsidRPr="003D3AE7">
              <w:rPr>
                <w:rFonts w:ascii="Times New Roman" w:eastAsia="Times New Roman" w:hAnsi="Times New Roman" w:cs="Times New Roman"/>
                <w:kern w:val="0"/>
                <w:sz w:val="24"/>
                <w:szCs w:val="24"/>
                <w:vertAlign w:val="superscript"/>
                <w:lang w:val="en-US" w:eastAsia="de-DE"/>
                <w14:ligatures w14:val="none"/>
              </w:rPr>
              <w:t>3</w:t>
            </w:r>
            <w:r w:rsidRPr="003D3AE7">
              <w:rPr>
                <w:rFonts w:ascii="Times New Roman" w:eastAsia="Times New Roman" w:hAnsi="Times New Roman" w:cs="Times New Roman"/>
                <w:kern w:val="0"/>
                <w:sz w:val="24"/>
                <w:szCs w:val="24"/>
                <w:lang w:val="en-US" w:eastAsia="de-DE"/>
                <w14:ligatures w14:val="none"/>
              </w:rPr>
              <w:t>Centro</w:t>
            </w:r>
            <w:proofErr w:type="spellEnd"/>
            <w:r w:rsidRPr="003D3AE7">
              <w:rPr>
                <w:rFonts w:ascii="Times New Roman" w:eastAsia="Times New Roman" w:hAnsi="Times New Roman" w:cs="Times New Roman"/>
                <w:kern w:val="0"/>
                <w:sz w:val="24"/>
                <w:szCs w:val="24"/>
                <w:lang w:val="en-US" w:eastAsia="de-DE"/>
                <w14:ligatures w14:val="none"/>
              </w:rPr>
              <w:t xml:space="preserve"> </w:t>
            </w:r>
            <w:proofErr w:type="spellStart"/>
            <w:r w:rsidRPr="003D3AE7">
              <w:rPr>
                <w:rFonts w:ascii="Times New Roman" w:eastAsia="Times New Roman" w:hAnsi="Times New Roman" w:cs="Times New Roman"/>
                <w:kern w:val="0"/>
                <w:sz w:val="24"/>
                <w:szCs w:val="24"/>
                <w:lang w:val="en-US" w:eastAsia="de-DE"/>
                <w14:ligatures w14:val="none"/>
              </w:rPr>
              <w:t>Atómico</w:t>
            </w:r>
            <w:proofErr w:type="spellEnd"/>
            <w:r w:rsidRPr="003D3AE7">
              <w:rPr>
                <w:rFonts w:ascii="Times New Roman" w:eastAsia="Times New Roman" w:hAnsi="Times New Roman" w:cs="Times New Roman"/>
                <w:kern w:val="0"/>
                <w:sz w:val="24"/>
                <w:szCs w:val="24"/>
                <w:lang w:val="en-US" w:eastAsia="de-DE"/>
                <w14:ligatures w14:val="none"/>
              </w:rPr>
              <w:t xml:space="preserve"> </w:t>
            </w:r>
            <w:proofErr w:type="spellStart"/>
            <w:r w:rsidRPr="003D3AE7">
              <w:rPr>
                <w:rFonts w:ascii="Times New Roman" w:eastAsia="Times New Roman" w:hAnsi="Times New Roman" w:cs="Times New Roman"/>
                <w:kern w:val="0"/>
                <w:sz w:val="24"/>
                <w:szCs w:val="24"/>
                <w:lang w:val="en-US" w:eastAsia="de-DE"/>
                <w14:ligatures w14:val="none"/>
              </w:rPr>
              <w:t>Bariloche</w:t>
            </w:r>
            <w:proofErr w:type="spellEnd"/>
            <w:r w:rsidRPr="003D3AE7">
              <w:rPr>
                <w:rFonts w:ascii="Times New Roman" w:eastAsia="Times New Roman" w:hAnsi="Times New Roman" w:cs="Times New Roman"/>
                <w:kern w:val="0"/>
                <w:sz w:val="24"/>
                <w:szCs w:val="24"/>
                <w:lang w:val="en-US" w:eastAsia="de-DE"/>
                <w14:ligatures w14:val="none"/>
              </w:rPr>
              <w:t xml:space="preserve">, </w:t>
            </w:r>
            <w:proofErr w:type="spellStart"/>
            <w:r w:rsidRPr="003D3AE7">
              <w:rPr>
                <w:rFonts w:ascii="Times New Roman" w:eastAsia="Times New Roman" w:hAnsi="Times New Roman" w:cs="Times New Roman"/>
                <w:kern w:val="0"/>
                <w:sz w:val="24"/>
                <w:szCs w:val="24"/>
                <w:lang w:val="en-US" w:eastAsia="de-DE"/>
                <w14:ligatures w14:val="none"/>
              </w:rPr>
              <w:t>Comisión</w:t>
            </w:r>
            <w:proofErr w:type="spellEnd"/>
            <w:r w:rsidRPr="003D3AE7">
              <w:rPr>
                <w:rFonts w:ascii="Times New Roman" w:eastAsia="Times New Roman" w:hAnsi="Times New Roman" w:cs="Times New Roman"/>
                <w:kern w:val="0"/>
                <w:sz w:val="24"/>
                <w:szCs w:val="24"/>
                <w:lang w:val="en-US" w:eastAsia="de-DE"/>
                <w14:ligatures w14:val="none"/>
              </w:rPr>
              <w:t xml:space="preserve"> Nacional de Energía </w:t>
            </w:r>
            <w:proofErr w:type="spellStart"/>
            <w:r w:rsidRPr="003D3AE7">
              <w:rPr>
                <w:rFonts w:ascii="Times New Roman" w:eastAsia="Times New Roman" w:hAnsi="Times New Roman" w:cs="Times New Roman"/>
                <w:kern w:val="0"/>
                <w:sz w:val="24"/>
                <w:szCs w:val="24"/>
                <w:lang w:val="en-US" w:eastAsia="de-DE"/>
                <w14:ligatures w14:val="none"/>
              </w:rPr>
              <w:t>Atómica</w:t>
            </w:r>
            <w:proofErr w:type="spellEnd"/>
            <w:r w:rsidRPr="003D3AE7">
              <w:rPr>
                <w:rFonts w:ascii="Times New Roman" w:eastAsia="Times New Roman" w:hAnsi="Times New Roman" w:cs="Times New Roman"/>
                <w:kern w:val="0"/>
                <w:sz w:val="24"/>
                <w:szCs w:val="24"/>
                <w:lang w:val="en-US" w:eastAsia="de-DE"/>
                <w14:ligatures w14:val="none"/>
              </w:rPr>
              <w:t xml:space="preserve"> (</w:t>
            </w:r>
            <w:proofErr w:type="spellStart"/>
            <w:r w:rsidRPr="003D3AE7">
              <w:rPr>
                <w:rFonts w:ascii="Times New Roman" w:eastAsia="Times New Roman" w:hAnsi="Times New Roman" w:cs="Times New Roman"/>
                <w:kern w:val="0"/>
                <w:sz w:val="24"/>
                <w:szCs w:val="24"/>
                <w:lang w:val="en-US" w:eastAsia="de-DE"/>
                <w14:ligatures w14:val="none"/>
              </w:rPr>
              <w:t>CNEA</w:t>
            </w:r>
            <w:proofErr w:type="spellEnd"/>
            <w:r w:rsidRPr="003D3AE7">
              <w:rPr>
                <w:rFonts w:ascii="Times New Roman" w:eastAsia="Times New Roman" w:hAnsi="Times New Roman" w:cs="Times New Roman"/>
                <w:kern w:val="0"/>
                <w:sz w:val="24"/>
                <w:szCs w:val="24"/>
                <w:lang w:val="en-US" w:eastAsia="de-DE"/>
                <w14:ligatures w14:val="none"/>
              </w:rPr>
              <w:t xml:space="preserve">), </w:t>
            </w:r>
            <w:proofErr w:type="spellStart"/>
            <w:r w:rsidRPr="003D3AE7">
              <w:rPr>
                <w:rFonts w:ascii="Times New Roman" w:eastAsia="Times New Roman" w:hAnsi="Times New Roman" w:cs="Times New Roman"/>
                <w:kern w:val="0"/>
                <w:sz w:val="24"/>
                <w:szCs w:val="24"/>
                <w:lang w:val="en-US" w:eastAsia="de-DE"/>
                <w14:ligatures w14:val="none"/>
              </w:rPr>
              <w:t>Bariloche</w:t>
            </w:r>
            <w:proofErr w:type="spellEnd"/>
            <w:r w:rsidRPr="003D3AE7">
              <w:rPr>
                <w:rFonts w:ascii="Times New Roman" w:eastAsia="Times New Roman" w:hAnsi="Times New Roman" w:cs="Times New Roman"/>
                <w:kern w:val="0"/>
                <w:sz w:val="24"/>
                <w:szCs w:val="24"/>
                <w:lang w:val="en-US" w:eastAsia="de-DE"/>
                <w14:ligatures w14:val="none"/>
              </w:rPr>
              <w:t>, Argentina</w:t>
            </w:r>
          </w:p>
          <w:p w14:paraId="041E4F61"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val="en-US" w:eastAsia="de-DE"/>
                <w14:ligatures w14:val="none"/>
              </w:rPr>
              <w:t xml:space="preserve">The electrolyte intercalation mechanism facilitates the insertion/extraction of charge into the electrode material in rechargeable batteries. </w:t>
            </w:r>
            <w:proofErr w:type="spellStart"/>
            <w:r w:rsidRPr="003D3AE7">
              <w:rPr>
                <w:rFonts w:ascii="Times New Roman" w:eastAsia="Times New Roman" w:hAnsi="Times New Roman" w:cs="Times New Roman"/>
                <w:kern w:val="0"/>
                <w:sz w:val="24"/>
                <w:szCs w:val="24"/>
                <w:lang w:val="en-US" w:eastAsia="de-DE"/>
                <w14:ligatures w14:val="none"/>
              </w:rPr>
              <w:t>Aluminium</w:t>
            </w:r>
            <w:proofErr w:type="spellEnd"/>
            <w:r w:rsidRPr="003D3AE7">
              <w:rPr>
                <w:rFonts w:ascii="Times New Roman" w:eastAsia="Times New Roman" w:hAnsi="Times New Roman" w:cs="Times New Roman"/>
                <w:kern w:val="0"/>
                <w:sz w:val="24"/>
                <w:szCs w:val="24"/>
                <w:lang w:val="en-US" w:eastAsia="de-DE"/>
                <w14:ligatures w14:val="none"/>
              </w:rPr>
              <w:t xml:space="preserve"> fluoride (</w:t>
            </w:r>
            <w:proofErr w:type="spellStart"/>
            <w:r w:rsidRPr="003D3AE7">
              <w:rPr>
                <w:rFonts w:ascii="Times New Roman" w:eastAsia="Times New Roman" w:hAnsi="Times New Roman" w:cs="Times New Roman"/>
                <w:kern w:val="0"/>
                <w:sz w:val="24"/>
                <w:szCs w:val="24"/>
                <w:lang w:val="en-US" w:eastAsia="de-DE"/>
                <w14:ligatures w14:val="none"/>
              </w:rPr>
              <w:t>AlF</w:t>
            </w:r>
            <w:r w:rsidRPr="003D3AE7">
              <w:rPr>
                <w:rFonts w:ascii="Times New Roman" w:eastAsia="Times New Roman" w:hAnsi="Times New Roman" w:cs="Times New Roman"/>
                <w:kern w:val="0"/>
                <w:sz w:val="24"/>
                <w:szCs w:val="24"/>
                <w:vertAlign w:val="subscript"/>
                <w:lang w:val="en-US" w:eastAsia="de-DE"/>
                <w14:ligatures w14:val="none"/>
              </w:rPr>
              <w:t>3</w:t>
            </w:r>
            <w:proofErr w:type="spellEnd"/>
            <w:r w:rsidRPr="003D3AE7">
              <w:rPr>
                <w:rFonts w:ascii="Times New Roman" w:eastAsia="Times New Roman" w:hAnsi="Times New Roman" w:cs="Times New Roman"/>
                <w:kern w:val="0"/>
                <w:sz w:val="24"/>
                <w:szCs w:val="24"/>
                <w:lang w:val="en-US" w:eastAsia="de-DE"/>
                <w14:ligatures w14:val="none"/>
              </w:rPr>
              <w:t xml:space="preserve">) has been used as an electrolyte in rechargeable </w:t>
            </w:r>
            <w:proofErr w:type="spellStart"/>
            <w:r w:rsidRPr="003D3AE7">
              <w:rPr>
                <w:rFonts w:ascii="Times New Roman" w:eastAsia="Times New Roman" w:hAnsi="Times New Roman" w:cs="Times New Roman"/>
                <w:kern w:val="0"/>
                <w:sz w:val="24"/>
                <w:szCs w:val="24"/>
                <w:lang w:val="en-US" w:eastAsia="de-DE"/>
                <w14:ligatures w14:val="none"/>
              </w:rPr>
              <w:t>aluminium</w:t>
            </w:r>
            <w:proofErr w:type="spellEnd"/>
            <w:r w:rsidRPr="003D3AE7">
              <w:rPr>
                <w:rFonts w:ascii="Times New Roman" w:eastAsia="Times New Roman" w:hAnsi="Times New Roman" w:cs="Times New Roman"/>
                <w:kern w:val="0"/>
                <w:sz w:val="24"/>
                <w:szCs w:val="24"/>
                <w:lang w:val="en-US" w:eastAsia="de-DE"/>
                <w14:ligatures w14:val="none"/>
              </w:rPr>
              <w:t xml:space="preserve"> batteries, the intercalation mechanism of this neutral molecule in graphite is so far unknown. In this work, we combine </w:t>
            </w:r>
            <w:proofErr w:type="spellStart"/>
            <w:r w:rsidRPr="003D3AE7">
              <w:rPr>
                <w:rFonts w:ascii="Times New Roman" w:eastAsia="Times New Roman" w:hAnsi="Times New Roman" w:cs="Times New Roman"/>
                <w:kern w:val="0"/>
                <w:sz w:val="24"/>
                <w:szCs w:val="24"/>
                <w:lang w:val="en-US" w:eastAsia="de-DE"/>
                <w14:ligatures w14:val="none"/>
              </w:rPr>
              <w:t>STM</w:t>
            </w:r>
            <w:proofErr w:type="spellEnd"/>
            <w:r w:rsidRPr="003D3AE7">
              <w:rPr>
                <w:rFonts w:ascii="Times New Roman" w:eastAsia="Times New Roman" w:hAnsi="Times New Roman" w:cs="Times New Roman"/>
                <w:kern w:val="0"/>
                <w:sz w:val="24"/>
                <w:szCs w:val="24"/>
                <w:lang w:val="en-US" w:eastAsia="de-DE"/>
                <w14:ligatures w14:val="none"/>
              </w:rPr>
              <w:t xml:space="preserve"> in UHF conditions, </w:t>
            </w:r>
            <w:proofErr w:type="spellStart"/>
            <w:r w:rsidRPr="003D3AE7">
              <w:rPr>
                <w:rFonts w:ascii="Times New Roman" w:eastAsia="Times New Roman" w:hAnsi="Times New Roman" w:cs="Times New Roman"/>
                <w:kern w:val="0"/>
                <w:sz w:val="24"/>
                <w:szCs w:val="24"/>
                <w:lang w:val="en-US" w:eastAsia="de-DE"/>
                <w14:ligatures w14:val="none"/>
              </w:rPr>
              <w:t>DFT</w:t>
            </w:r>
            <w:proofErr w:type="spellEnd"/>
            <w:r w:rsidRPr="003D3AE7">
              <w:rPr>
                <w:rFonts w:ascii="Times New Roman" w:eastAsia="Times New Roman" w:hAnsi="Times New Roman" w:cs="Times New Roman"/>
                <w:kern w:val="0"/>
                <w:sz w:val="24"/>
                <w:szCs w:val="24"/>
                <w:lang w:val="en-US" w:eastAsia="de-DE"/>
                <w14:ligatures w14:val="none"/>
              </w:rPr>
              <w:t xml:space="preserve"> calculations, and large-scale MD simulations to reveal the mechanism of </w:t>
            </w:r>
            <w:proofErr w:type="spellStart"/>
            <w:r w:rsidRPr="003D3AE7">
              <w:rPr>
                <w:rFonts w:ascii="Times New Roman" w:eastAsia="Times New Roman" w:hAnsi="Times New Roman" w:cs="Times New Roman"/>
                <w:kern w:val="0"/>
                <w:sz w:val="24"/>
                <w:szCs w:val="24"/>
                <w:lang w:val="en-US" w:eastAsia="de-DE"/>
                <w14:ligatures w14:val="none"/>
              </w:rPr>
              <w:t>AlF</w:t>
            </w:r>
            <w:r w:rsidRPr="003D3AE7">
              <w:rPr>
                <w:rFonts w:ascii="Times New Roman" w:eastAsia="Times New Roman" w:hAnsi="Times New Roman" w:cs="Times New Roman"/>
                <w:kern w:val="0"/>
                <w:sz w:val="24"/>
                <w:szCs w:val="24"/>
                <w:vertAlign w:val="subscript"/>
                <w:lang w:val="en-US" w:eastAsia="de-DE"/>
                <w14:ligatures w14:val="none"/>
              </w:rPr>
              <w:t>3</w:t>
            </w:r>
            <w:proofErr w:type="spellEnd"/>
            <w:r w:rsidRPr="003D3AE7">
              <w:rPr>
                <w:rFonts w:ascii="Times New Roman" w:eastAsia="Times New Roman" w:hAnsi="Times New Roman" w:cs="Times New Roman"/>
                <w:kern w:val="0"/>
                <w:sz w:val="24"/>
                <w:szCs w:val="24"/>
                <w:lang w:val="en-US" w:eastAsia="de-DE"/>
                <w14:ligatures w14:val="none"/>
              </w:rPr>
              <w:t xml:space="preserve"> intercalation. We report the formation of </w:t>
            </w:r>
            <w:proofErr w:type="spellStart"/>
            <w:r w:rsidRPr="003D3AE7">
              <w:rPr>
                <w:rFonts w:ascii="Times New Roman" w:eastAsia="Times New Roman" w:hAnsi="Times New Roman" w:cs="Times New Roman"/>
                <w:kern w:val="0"/>
                <w:sz w:val="24"/>
                <w:szCs w:val="24"/>
                <w:lang w:val="en-US" w:eastAsia="de-DE"/>
                <w14:ligatures w14:val="none"/>
              </w:rPr>
              <w:t>AlF</w:t>
            </w:r>
            <w:r w:rsidRPr="003D3AE7">
              <w:rPr>
                <w:rFonts w:ascii="Times New Roman" w:eastAsia="Times New Roman" w:hAnsi="Times New Roman" w:cs="Times New Roman"/>
                <w:kern w:val="0"/>
                <w:sz w:val="24"/>
                <w:szCs w:val="24"/>
                <w:vertAlign w:val="subscript"/>
                <w:lang w:val="en-US" w:eastAsia="de-DE"/>
                <w14:ligatures w14:val="none"/>
              </w:rPr>
              <w:t>3</w:t>
            </w:r>
            <w:proofErr w:type="spellEnd"/>
            <w:r w:rsidRPr="003D3AE7">
              <w:rPr>
                <w:rFonts w:ascii="Times New Roman" w:eastAsia="Times New Roman" w:hAnsi="Times New Roman" w:cs="Times New Roman"/>
                <w:kern w:val="0"/>
                <w:sz w:val="24"/>
                <w:szCs w:val="24"/>
                <w:lang w:val="en-US" w:eastAsia="de-DE"/>
                <w14:ligatures w14:val="none"/>
              </w:rPr>
              <w:t> molecules clusters between graphite layers, their self-assembly by graphene buckling-mediated interactions, and explain the origin and distribution of superficial </w:t>
            </w:r>
            <w:r w:rsidRPr="003D3AE7">
              <w:rPr>
                <w:rFonts w:ascii="Times New Roman" w:eastAsia="Times New Roman" w:hAnsi="Times New Roman" w:cs="Times New Roman"/>
                <w:i/>
                <w:iCs/>
                <w:kern w:val="0"/>
                <w:sz w:val="24"/>
                <w:szCs w:val="24"/>
                <w:lang w:val="en-US" w:eastAsia="de-DE"/>
                <w14:ligatures w14:val="none"/>
              </w:rPr>
              <w:t>blisters</w:t>
            </w:r>
            <w:r w:rsidRPr="003D3AE7">
              <w:rPr>
                <w:rFonts w:ascii="Times New Roman" w:eastAsia="Times New Roman" w:hAnsi="Times New Roman" w:cs="Times New Roman"/>
                <w:kern w:val="0"/>
                <w:sz w:val="24"/>
                <w:szCs w:val="24"/>
                <w:lang w:val="en-US" w:eastAsia="de-DE"/>
                <w14:ligatures w14:val="none"/>
              </w:rPr>
              <w:t> in the material. </w:t>
            </w:r>
            <w:r w:rsidRPr="003D3AE7">
              <w:rPr>
                <w:rFonts w:ascii="Times New Roman" w:eastAsia="Times New Roman" w:hAnsi="Times New Roman" w:cs="Times New Roman"/>
                <w:b/>
                <w:bCs/>
                <w:kern w:val="0"/>
                <w:sz w:val="24"/>
                <w:szCs w:val="24"/>
                <w:lang w:val="en-US" w:eastAsia="de-DE"/>
                <w14:ligatures w14:val="none"/>
              </w:rPr>
              <w:t>Reference</w:t>
            </w:r>
            <w:r w:rsidRPr="003D3AE7">
              <w:rPr>
                <w:rFonts w:ascii="Times New Roman" w:eastAsia="Times New Roman" w:hAnsi="Times New Roman" w:cs="Times New Roman"/>
                <w:kern w:val="0"/>
                <w:sz w:val="24"/>
                <w:szCs w:val="24"/>
                <w:lang w:val="en-US" w:eastAsia="de-DE"/>
                <w14:ligatures w14:val="none"/>
              </w:rPr>
              <w:t xml:space="preserve"> [1] S. J. Rodríguez et al, ACS Appl. Nano Mater. </w:t>
            </w:r>
            <w:r w:rsidRPr="003D3AE7">
              <w:rPr>
                <w:rFonts w:ascii="Times New Roman" w:eastAsia="Times New Roman" w:hAnsi="Times New Roman" w:cs="Times New Roman"/>
                <w:kern w:val="0"/>
                <w:sz w:val="24"/>
                <w:szCs w:val="24"/>
                <w:lang w:eastAsia="de-DE"/>
                <w14:ligatures w14:val="none"/>
              </w:rPr>
              <w:t>18, 16977-16985 (2023).</w:t>
            </w:r>
          </w:p>
        </w:tc>
      </w:tr>
      <w:tr w:rsidR="003D3AE7" w:rsidRPr="003C1CAD" w14:paraId="22D41C62" w14:textId="77777777" w:rsidTr="003D3AE7">
        <w:trPr>
          <w:tblCellSpacing w:w="15" w:type="dxa"/>
        </w:trPr>
        <w:tc>
          <w:tcPr>
            <w:tcW w:w="0" w:type="auto"/>
            <w:tcMar>
              <w:top w:w="96" w:type="dxa"/>
              <w:left w:w="0" w:type="dxa"/>
              <w:bottom w:w="0" w:type="dxa"/>
              <w:right w:w="360" w:type="dxa"/>
            </w:tcMar>
            <w:hideMark/>
          </w:tcPr>
          <w:p w14:paraId="0D6741E5"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noProof/>
                <w:color w:val="363B90"/>
                <w:kern w:val="0"/>
                <w:sz w:val="24"/>
                <w:szCs w:val="24"/>
                <w:lang w:eastAsia="de-DE"/>
                <w14:ligatures w14:val="none"/>
              </w:rPr>
              <w:drawing>
                <wp:inline distT="0" distB="0" distL="0" distR="0" wp14:anchorId="416B377C" wp14:editId="493C56A1">
                  <wp:extent cx="152400" cy="152400"/>
                  <wp:effectExtent l="0" t="0" r="0" b="0"/>
                  <wp:docPr id="12" name="Bild 12" descr="Ein Bild, das Kreis, Symbol, Logo, Design enthält.&#10;&#10;Automatisch generierte Beschreibu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descr="Ein Bild, das Kreis, Symbol, Logo, Design enthält.&#10;&#10;Automatisch generierte Beschreibung">
                            <a:hlinkClick r:id="rId24"/>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4D57ADA8"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16:45</w:t>
            </w:r>
          </w:p>
        </w:tc>
        <w:tc>
          <w:tcPr>
            <w:tcW w:w="0" w:type="auto"/>
            <w:noWrap/>
            <w:tcMar>
              <w:top w:w="96" w:type="dxa"/>
              <w:left w:w="0" w:type="dxa"/>
              <w:bottom w:w="0" w:type="dxa"/>
              <w:right w:w="360" w:type="dxa"/>
            </w:tcMar>
            <w:hideMark/>
          </w:tcPr>
          <w:p w14:paraId="37ADDA1A"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AKE 1.6</w:t>
            </w:r>
          </w:p>
        </w:tc>
        <w:tc>
          <w:tcPr>
            <w:tcW w:w="5000" w:type="pct"/>
            <w:tcMar>
              <w:top w:w="96" w:type="dxa"/>
              <w:left w:w="0" w:type="dxa"/>
              <w:bottom w:w="0" w:type="dxa"/>
              <w:right w:w="360" w:type="dxa"/>
            </w:tcMar>
            <w:hideMark/>
          </w:tcPr>
          <w:p w14:paraId="2394E9A5" w14:textId="77777777" w:rsidR="003D3AE7" w:rsidRPr="003D3AE7" w:rsidRDefault="00000000" w:rsidP="003D3AE7">
            <w:pPr>
              <w:spacing w:after="0" w:line="240" w:lineRule="auto"/>
              <w:rPr>
                <w:rFonts w:ascii="Times New Roman" w:eastAsia="Times New Roman" w:hAnsi="Times New Roman" w:cs="Times New Roman"/>
                <w:kern w:val="0"/>
                <w:sz w:val="24"/>
                <w:szCs w:val="24"/>
                <w:lang w:val="en-US" w:eastAsia="de-DE"/>
                <w14:ligatures w14:val="none"/>
              </w:rPr>
            </w:pPr>
            <w:hyperlink r:id="rId25" w:history="1">
              <w:r w:rsidR="003D3AE7" w:rsidRPr="003D3AE7">
                <w:rPr>
                  <w:rFonts w:ascii="Times New Roman" w:eastAsia="Times New Roman" w:hAnsi="Times New Roman" w:cs="Times New Roman"/>
                  <w:color w:val="363B90"/>
                  <w:kern w:val="0"/>
                  <w:sz w:val="24"/>
                  <w:szCs w:val="24"/>
                  <w:u w:val="single"/>
                  <w:lang w:val="en-US" w:eastAsia="de-DE"/>
                  <w14:ligatures w14:val="none"/>
                </w:rPr>
                <w:t>AI-Driven In-situ Experimental Spectroscopy Analysis in Energy Chemistry</w:t>
              </w:r>
            </w:hyperlink>
            <w:r w:rsidR="003D3AE7" w:rsidRPr="003D3AE7">
              <w:rPr>
                <w:rFonts w:ascii="Times New Roman" w:eastAsia="Times New Roman" w:hAnsi="Times New Roman" w:cs="Times New Roman"/>
                <w:kern w:val="0"/>
                <w:sz w:val="24"/>
                <w:szCs w:val="24"/>
                <w:lang w:val="en-US" w:eastAsia="de-DE"/>
                <w14:ligatures w14:val="none"/>
              </w:rPr>
              <w:t> — •</w:t>
            </w:r>
            <w:proofErr w:type="spellStart"/>
            <w:r w:rsidR="003D3AE7" w:rsidRPr="003D3AE7">
              <w:rPr>
                <w:rFonts w:ascii="Times New Roman" w:eastAsia="Times New Roman" w:hAnsi="Times New Roman" w:cs="Times New Roman"/>
                <w:smallCaps/>
                <w:kern w:val="0"/>
                <w:sz w:val="24"/>
                <w:szCs w:val="24"/>
                <w:lang w:val="en-US" w:eastAsia="de-DE"/>
                <w14:ligatures w14:val="none"/>
              </w:rPr>
              <w:t>Haobo</w:t>
            </w:r>
            <w:proofErr w:type="spellEnd"/>
            <w:r w:rsidR="003D3AE7" w:rsidRPr="003D3AE7">
              <w:rPr>
                <w:rFonts w:ascii="Times New Roman" w:eastAsia="Times New Roman" w:hAnsi="Times New Roman" w:cs="Times New Roman"/>
                <w:smallCaps/>
                <w:kern w:val="0"/>
                <w:sz w:val="24"/>
                <w:szCs w:val="24"/>
                <w:lang w:val="en-US" w:eastAsia="de-DE"/>
                <w14:ligatures w14:val="none"/>
              </w:rPr>
              <w:t xml:space="preserve"> Li</w:t>
            </w:r>
          </w:p>
        </w:tc>
      </w:tr>
      <w:tr w:rsidR="003D3AE7" w:rsidRPr="003C1CAD" w14:paraId="7EA98BF4" w14:textId="77777777" w:rsidTr="003D3AE7">
        <w:trPr>
          <w:tblCellSpacing w:w="15" w:type="dxa"/>
        </w:trPr>
        <w:tc>
          <w:tcPr>
            <w:tcW w:w="0" w:type="auto"/>
            <w:tcMar>
              <w:top w:w="96" w:type="dxa"/>
              <w:left w:w="0" w:type="dxa"/>
              <w:bottom w:w="0" w:type="dxa"/>
              <w:right w:w="360" w:type="dxa"/>
            </w:tcMar>
            <w:hideMark/>
          </w:tcPr>
          <w:p w14:paraId="3E51B358" w14:textId="77777777" w:rsidR="003D3AE7" w:rsidRPr="003D3AE7" w:rsidRDefault="003D3AE7" w:rsidP="003D3AE7">
            <w:pPr>
              <w:spacing w:after="0" w:line="240" w:lineRule="auto"/>
              <w:rPr>
                <w:rFonts w:ascii="Times New Roman" w:eastAsia="Times New Roman" w:hAnsi="Times New Roman" w:cs="Times New Roman"/>
                <w:kern w:val="0"/>
                <w:sz w:val="24"/>
                <w:szCs w:val="24"/>
                <w:lang w:val="en-US" w:eastAsia="de-DE"/>
                <w14:ligatures w14:val="none"/>
              </w:rPr>
            </w:pPr>
          </w:p>
        </w:tc>
        <w:tc>
          <w:tcPr>
            <w:tcW w:w="0" w:type="auto"/>
            <w:gridSpan w:val="3"/>
            <w:tcMar>
              <w:top w:w="96" w:type="dxa"/>
              <w:left w:w="0" w:type="dxa"/>
              <w:bottom w:w="0" w:type="dxa"/>
              <w:right w:w="360" w:type="dxa"/>
            </w:tcMar>
            <w:hideMark/>
          </w:tcPr>
          <w:p w14:paraId="5F5A0558" w14:textId="77777777" w:rsidR="003D3AE7" w:rsidRPr="003D3AE7" w:rsidRDefault="003D3AE7" w:rsidP="003D3AE7">
            <w:pPr>
              <w:pBdr>
                <w:bottom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Formularbeginn</w:t>
            </w:r>
          </w:p>
          <w:p w14:paraId="5F504921" w14:textId="77777777" w:rsidR="003D3AE7" w:rsidRPr="003D3AE7" w:rsidRDefault="003D3AE7" w:rsidP="003D3AE7">
            <w:pPr>
              <w:pBdr>
                <w:top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Formularende</w:t>
            </w:r>
          </w:p>
          <w:p w14:paraId="2612589F"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b/>
                <w:bCs/>
                <w:kern w:val="0"/>
                <w:sz w:val="24"/>
                <w:szCs w:val="24"/>
                <w:lang w:val="en-US" w:eastAsia="de-DE"/>
                <w14:ligatures w14:val="none"/>
              </w:rPr>
              <w:t>AI-Driven In-situ Experimental Spectroscopy Analysis in Energy Chemistry</w:t>
            </w:r>
            <w:r w:rsidRPr="003D3AE7">
              <w:rPr>
                <w:rFonts w:ascii="Times New Roman" w:eastAsia="Times New Roman" w:hAnsi="Times New Roman" w:cs="Times New Roman"/>
                <w:kern w:val="0"/>
                <w:sz w:val="24"/>
                <w:szCs w:val="24"/>
                <w:lang w:val="en-US" w:eastAsia="de-DE"/>
                <w14:ligatures w14:val="none"/>
              </w:rPr>
              <w:t> — •</w:t>
            </w:r>
            <w:proofErr w:type="spellStart"/>
            <w:r w:rsidRPr="003D3AE7">
              <w:rPr>
                <w:rFonts w:ascii="Times New Roman" w:eastAsia="Times New Roman" w:hAnsi="Times New Roman" w:cs="Times New Roman"/>
                <w:smallCaps/>
                <w:kern w:val="0"/>
                <w:sz w:val="24"/>
                <w:szCs w:val="24"/>
                <w:lang w:val="en-US" w:eastAsia="de-DE"/>
                <w14:ligatures w14:val="none"/>
              </w:rPr>
              <w:t>Haobo</w:t>
            </w:r>
            <w:proofErr w:type="spellEnd"/>
            <w:r w:rsidRPr="003D3AE7">
              <w:rPr>
                <w:rFonts w:ascii="Times New Roman" w:eastAsia="Times New Roman" w:hAnsi="Times New Roman" w:cs="Times New Roman"/>
                <w:smallCaps/>
                <w:kern w:val="0"/>
                <w:sz w:val="24"/>
                <w:szCs w:val="24"/>
                <w:lang w:val="en-US" w:eastAsia="de-DE"/>
                <w14:ligatures w14:val="none"/>
              </w:rPr>
              <w:t xml:space="preserve"> Li</w:t>
            </w:r>
            <w:r w:rsidRPr="003D3AE7">
              <w:rPr>
                <w:rFonts w:ascii="Times New Roman" w:eastAsia="Times New Roman" w:hAnsi="Times New Roman" w:cs="Times New Roman"/>
                <w:kern w:val="0"/>
                <w:sz w:val="24"/>
                <w:szCs w:val="24"/>
                <w:lang w:val="en-US" w:eastAsia="de-DE"/>
                <w14:ligatures w14:val="none"/>
              </w:rPr>
              <w:t> — The University of Adelaide</w:t>
            </w:r>
          </w:p>
          <w:p w14:paraId="28DE993D"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kern w:val="0"/>
                <w:sz w:val="24"/>
                <w:szCs w:val="24"/>
                <w:lang w:val="en-US" w:eastAsia="de-DE"/>
                <w14:ligatures w14:val="none"/>
              </w:rPr>
              <w:t>Single-atom catalysts (</w:t>
            </w:r>
            <w:proofErr w:type="spellStart"/>
            <w:r w:rsidRPr="003D3AE7">
              <w:rPr>
                <w:rFonts w:ascii="Times New Roman" w:eastAsia="Times New Roman" w:hAnsi="Times New Roman" w:cs="Times New Roman"/>
                <w:kern w:val="0"/>
                <w:sz w:val="24"/>
                <w:szCs w:val="24"/>
                <w:lang w:val="en-US" w:eastAsia="de-DE"/>
                <w14:ligatures w14:val="none"/>
              </w:rPr>
              <w:t>SACs</w:t>
            </w:r>
            <w:proofErr w:type="spellEnd"/>
            <w:r w:rsidRPr="003D3AE7">
              <w:rPr>
                <w:rFonts w:ascii="Times New Roman" w:eastAsia="Times New Roman" w:hAnsi="Times New Roman" w:cs="Times New Roman"/>
                <w:kern w:val="0"/>
                <w:sz w:val="24"/>
                <w:szCs w:val="24"/>
                <w:lang w:val="en-US" w:eastAsia="de-DE"/>
                <w14:ligatures w14:val="none"/>
              </w:rPr>
              <w:t>) offer significant potential across various applications, yet our understanding of their formation mechanism remains limited. Notably, the pyrolysis of zeolitic imidazolate frameworks (</w:t>
            </w:r>
            <w:proofErr w:type="spellStart"/>
            <w:r w:rsidRPr="003D3AE7">
              <w:rPr>
                <w:rFonts w:ascii="Times New Roman" w:eastAsia="Times New Roman" w:hAnsi="Times New Roman" w:cs="Times New Roman"/>
                <w:kern w:val="0"/>
                <w:sz w:val="24"/>
                <w:szCs w:val="24"/>
                <w:lang w:val="en-US" w:eastAsia="de-DE"/>
                <w14:ligatures w14:val="none"/>
              </w:rPr>
              <w:t>ZIFs</w:t>
            </w:r>
            <w:proofErr w:type="spellEnd"/>
            <w:r w:rsidRPr="003D3AE7">
              <w:rPr>
                <w:rFonts w:ascii="Times New Roman" w:eastAsia="Times New Roman" w:hAnsi="Times New Roman" w:cs="Times New Roman"/>
                <w:kern w:val="0"/>
                <w:sz w:val="24"/>
                <w:szCs w:val="24"/>
                <w:lang w:val="en-US" w:eastAsia="de-DE"/>
                <w14:ligatures w14:val="none"/>
              </w:rPr>
              <w:t xml:space="preserve">) stands as a pivotal avenue for SAC synthesis, of which the mechanism can be assessed through infrared (IR) spectroscopy. However, the prevailing analysis techniques still rely on manual interpretation. Here, we report </w:t>
            </w:r>
            <w:proofErr w:type="gramStart"/>
            <w:r w:rsidRPr="003D3AE7">
              <w:rPr>
                <w:rFonts w:ascii="Times New Roman" w:eastAsia="Times New Roman" w:hAnsi="Times New Roman" w:cs="Times New Roman"/>
                <w:kern w:val="0"/>
                <w:sz w:val="24"/>
                <w:szCs w:val="24"/>
                <w:lang w:val="en-US" w:eastAsia="de-DE"/>
                <w14:ligatures w14:val="none"/>
              </w:rPr>
              <w:t>a</w:t>
            </w:r>
            <w:proofErr w:type="gramEnd"/>
            <w:r w:rsidRPr="003D3AE7">
              <w:rPr>
                <w:rFonts w:ascii="Times New Roman" w:eastAsia="Times New Roman" w:hAnsi="Times New Roman" w:cs="Times New Roman"/>
                <w:kern w:val="0"/>
                <w:sz w:val="24"/>
                <w:szCs w:val="24"/>
                <w:lang w:val="en-US" w:eastAsia="de-DE"/>
                <w14:ligatures w14:val="none"/>
              </w:rPr>
              <w:t xml:space="preserve"> artificial intelligence (AI)-driven analysis of the IR spectroscopy to unravel the pyrolysis process of Pt-doped ZIF-67 to synthesize Pt-</w:t>
            </w:r>
            <w:proofErr w:type="spellStart"/>
            <w:r w:rsidRPr="003D3AE7">
              <w:rPr>
                <w:rFonts w:ascii="Times New Roman" w:eastAsia="Times New Roman" w:hAnsi="Times New Roman" w:cs="Times New Roman"/>
                <w:kern w:val="0"/>
                <w:sz w:val="24"/>
                <w:szCs w:val="24"/>
                <w:lang w:val="en-US" w:eastAsia="de-DE"/>
                <w14:ligatures w14:val="none"/>
              </w:rPr>
              <w:t>Co3O4</w:t>
            </w:r>
            <w:proofErr w:type="spellEnd"/>
            <w:r w:rsidRPr="003D3AE7">
              <w:rPr>
                <w:rFonts w:ascii="Times New Roman" w:eastAsia="Times New Roman" w:hAnsi="Times New Roman" w:cs="Times New Roman"/>
                <w:kern w:val="0"/>
                <w:sz w:val="24"/>
                <w:szCs w:val="24"/>
                <w:lang w:val="en-US" w:eastAsia="de-DE"/>
                <w14:ligatures w14:val="none"/>
              </w:rPr>
              <w:t xml:space="preserve"> SAC. Demonstrating a total Pearson correlation exceeding 0.7 with experimental data, the algorithm provides correlation coefficients for the selected structures, thereby confirming crucial structural changes with time and temperature, including the decomposition of ZIF and </w:t>
            </w:r>
            <w:r w:rsidRPr="003D3AE7">
              <w:rPr>
                <w:rFonts w:ascii="Times New Roman" w:eastAsia="Times New Roman" w:hAnsi="Times New Roman" w:cs="Times New Roman"/>
                <w:kern w:val="0"/>
                <w:sz w:val="24"/>
                <w:szCs w:val="24"/>
                <w:lang w:val="en-US" w:eastAsia="de-DE"/>
                <w14:ligatures w14:val="none"/>
              </w:rPr>
              <w:lastRenderedPageBreak/>
              <w:t xml:space="preserve">formation of Pt-O bonds. These findings reveal and confirm the formation mechanism of </w:t>
            </w:r>
            <w:proofErr w:type="spellStart"/>
            <w:r w:rsidRPr="003D3AE7">
              <w:rPr>
                <w:rFonts w:ascii="Times New Roman" w:eastAsia="Times New Roman" w:hAnsi="Times New Roman" w:cs="Times New Roman"/>
                <w:kern w:val="0"/>
                <w:sz w:val="24"/>
                <w:szCs w:val="24"/>
                <w:lang w:val="en-US" w:eastAsia="de-DE"/>
                <w14:ligatures w14:val="none"/>
              </w:rPr>
              <w:t>SACs</w:t>
            </w:r>
            <w:proofErr w:type="spellEnd"/>
            <w:r w:rsidRPr="003D3AE7">
              <w:rPr>
                <w:rFonts w:ascii="Times New Roman" w:eastAsia="Times New Roman" w:hAnsi="Times New Roman" w:cs="Times New Roman"/>
                <w:kern w:val="0"/>
                <w:sz w:val="24"/>
                <w:szCs w:val="24"/>
                <w:lang w:val="en-US" w:eastAsia="de-DE"/>
                <w14:ligatures w14:val="none"/>
              </w:rPr>
              <w:t>. As demonstrated, the integration of AI algorithms, theoretical simulations, and experimental spectral analysis introduces an approach to deciphering experimental characterization data, implying its potential for broader adoption.</w:t>
            </w:r>
          </w:p>
        </w:tc>
      </w:tr>
      <w:tr w:rsidR="003D3AE7" w:rsidRPr="003C1CAD" w14:paraId="7CC07ACC" w14:textId="77777777" w:rsidTr="003D3AE7">
        <w:trPr>
          <w:tblCellSpacing w:w="15" w:type="dxa"/>
        </w:trPr>
        <w:tc>
          <w:tcPr>
            <w:tcW w:w="0" w:type="auto"/>
            <w:tcMar>
              <w:top w:w="96" w:type="dxa"/>
              <w:left w:w="0" w:type="dxa"/>
              <w:bottom w:w="0" w:type="dxa"/>
              <w:right w:w="360" w:type="dxa"/>
            </w:tcMar>
            <w:hideMark/>
          </w:tcPr>
          <w:p w14:paraId="496B04D4"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noProof/>
                <w:color w:val="363B90"/>
                <w:kern w:val="0"/>
                <w:sz w:val="24"/>
                <w:szCs w:val="24"/>
                <w:lang w:eastAsia="de-DE"/>
                <w14:ligatures w14:val="none"/>
              </w:rPr>
              <w:lastRenderedPageBreak/>
              <w:drawing>
                <wp:inline distT="0" distB="0" distL="0" distR="0" wp14:anchorId="119120ED" wp14:editId="07A8E032">
                  <wp:extent cx="152400" cy="152400"/>
                  <wp:effectExtent l="0" t="0" r="0" b="0"/>
                  <wp:docPr id="14" name="Bild 14" descr="Ein Bild, das Kreis, Symbol, Logo, Design enthält.&#10;&#10;Automatisch generierte Beschreibu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Kreis, Symbol, Logo, Design enthält.&#10;&#10;Automatisch generierte Beschreibung">
                            <a:hlinkClick r:id="rId26"/>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29A51627"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17:00</w:t>
            </w:r>
          </w:p>
        </w:tc>
        <w:tc>
          <w:tcPr>
            <w:tcW w:w="0" w:type="auto"/>
            <w:noWrap/>
            <w:tcMar>
              <w:top w:w="96" w:type="dxa"/>
              <w:left w:w="0" w:type="dxa"/>
              <w:bottom w:w="0" w:type="dxa"/>
              <w:right w:w="360" w:type="dxa"/>
            </w:tcMar>
            <w:hideMark/>
          </w:tcPr>
          <w:p w14:paraId="3D4FA78A" w14:textId="77777777" w:rsidR="003D3AE7" w:rsidRPr="003D3AE7" w:rsidRDefault="003D3AE7" w:rsidP="003D3AE7">
            <w:pPr>
              <w:spacing w:after="0" w:line="240" w:lineRule="auto"/>
              <w:rPr>
                <w:rFonts w:ascii="Times New Roman" w:eastAsia="Times New Roman" w:hAnsi="Times New Roman" w:cs="Times New Roman"/>
                <w:kern w:val="0"/>
                <w:sz w:val="24"/>
                <w:szCs w:val="24"/>
                <w:lang w:eastAsia="de-DE"/>
                <w14:ligatures w14:val="none"/>
              </w:rPr>
            </w:pPr>
            <w:r w:rsidRPr="003D3AE7">
              <w:rPr>
                <w:rFonts w:ascii="Times New Roman" w:eastAsia="Times New Roman" w:hAnsi="Times New Roman" w:cs="Times New Roman"/>
                <w:kern w:val="0"/>
                <w:sz w:val="24"/>
                <w:szCs w:val="24"/>
                <w:lang w:eastAsia="de-DE"/>
                <w14:ligatures w14:val="none"/>
              </w:rPr>
              <w:t>AKE 1.7</w:t>
            </w:r>
          </w:p>
        </w:tc>
        <w:tc>
          <w:tcPr>
            <w:tcW w:w="5000" w:type="pct"/>
            <w:tcMar>
              <w:top w:w="96" w:type="dxa"/>
              <w:left w:w="0" w:type="dxa"/>
              <w:bottom w:w="0" w:type="dxa"/>
              <w:right w:w="360" w:type="dxa"/>
            </w:tcMar>
            <w:hideMark/>
          </w:tcPr>
          <w:p w14:paraId="33DB3D03" w14:textId="77777777" w:rsidR="003D3AE7" w:rsidRPr="003D3AE7" w:rsidRDefault="00000000" w:rsidP="003D3AE7">
            <w:pPr>
              <w:spacing w:after="0" w:line="240" w:lineRule="auto"/>
              <w:rPr>
                <w:rFonts w:ascii="Times New Roman" w:eastAsia="Times New Roman" w:hAnsi="Times New Roman" w:cs="Times New Roman"/>
                <w:kern w:val="0"/>
                <w:sz w:val="24"/>
                <w:szCs w:val="24"/>
                <w:lang w:val="en-US" w:eastAsia="de-DE"/>
                <w14:ligatures w14:val="none"/>
              </w:rPr>
            </w:pPr>
            <w:hyperlink r:id="rId27" w:history="1">
              <w:r w:rsidR="003D3AE7" w:rsidRPr="003D3AE7">
                <w:rPr>
                  <w:rFonts w:ascii="Times New Roman" w:eastAsia="Times New Roman" w:hAnsi="Times New Roman" w:cs="Times New Roman"/>
                  <w:color w:val="363B90"/>
                  <w:kern w:val="0"/>
                  <w:sz w:val="24"/>
                  <w:szCs w:val="24"/>
                  <w:u w:val="single"/>
                  <w:lang w:val="en-US" w:eastAsia="de-DE"/>
                  <w14:ligatures w14:val="none"/>
                </w:rPr>
                <w:t>Simulation of an electromagnetic vibration energy harvester and possibilities of increasing efficiency and scalability</w:t>
              </w:r>
            </w:hyperlink>
            <w:r w:rsidR="003D3AE7" w:rsidRPr="003D3AE7">
              <w:rPr>
                <w:rFonts w:ascii="Times New Roman" w:eastAsia="Times New Roman" w:hAnsi="Times New Roman" w:cs="Times New Roman"/>
                <w:kern w:val="0"/>
                <w:sz w:val="24"/>
                <w:szCs w:val="24"/>
                <w:lang w:val="en-US" w:eastAsia="de-DE"/>
                <w14:ligatures w14:val="none"/>
              </w:rPr>
              <w:t> — •</w:t>
            </w:r>
            <w:r w:rsidR="003D3AE7" w:rsidRPr="003D3AE7">
              <w:rPr>
                <w:rFonts w:ascii="Times New Roman" w:eastAsia="Times New Roman" w:hAnsi="Times New Roman" w:cs="Times New Roman"/>
                <w:smallCaps/>
                <w:kern w:val="0"/>
                <w:sz w:val="24"/>
                <w:szCs w:val="24"/>
                <w:lang w:val="en-US" w:eastAsia="de-DE"/>
                <w14:ligatures w14:val="none"/>
              </w:rPr>
              <w:t xml:space="preserve">Eugen </w:t>
            </w:r>
            <w:proofErr w:type="spellStart"/>
            <w:r w:rsidR="003D3AE7" w:rsidRPr="003D3AE7">
              <w:rPr>
                <w:rFonts w:ascii="Times New Roman" w:eastAsia="Times New Roman" w:hAnsi="Times New Roman" w:cs="Times New Roman"/>
                <w:smallCaps/>
                <w:kern w:val="0"/>
                <w:sz w:val="24"/>
                <w:szCs w:val="24"/>
                <w:lang w:val="en-US" w:eastAsia="de-DE"/>
                <w14:ligatures w14:val="none"/>
              </w:rPr>
              <w:t>Vambolt</w:t>
            </w:r>
            <w:proofErr w:type="spellEnd"/>
          </w:p>
        </w:tc>
      </w:tr>
      <w:tr w:rsidR="003D3AE7" w:rsidRPr="003C1CAD" w14:paraId="2B914AA4" w14:textId="77777777" w:rsidTr="003D3AE7">
        <w:trPr>
          <w:tblCellSpacing w:w="15" w:type="dxa"/>
        </w:trPr>
        <w:tc>
          <w:tcPr>
            <w:tcW w:w="0" w:type="auto"/>
            <w:tcMar>
              <w:top w:w="96" w:type="dxa"/>
              <w:left w:w="0" w:type="dxa"/>
              <w:bottom w:w="0" w:type="dxa"/>
              <w:right w:w="360" w:type="dxa"/>
            </w:tcMar>
            <w:hideMark/>
          </w:tcPr>
          <w:p w14:paraId="7F33D4B9" w14:textId="77777777" w:rsidR="003D3AE7" w:rsidRPr="003D3AE7" w:rsidRDefault="003D3AE7" w:rsidP="003D3AE7">
            <w:pPr>
              <w:spacing w:after="0" w:line="240" w:lineRule="auto"/>
              <w:rPr>
                <w:rFonts w:ascii="Times New Roman" w:eastAsia="Times New Roman" w:hAnsi="Times New Roman" w:cs="Times New Roman"/>
                <w:kern w:val="0"/>
                <w:sz w:val="24"/>
                <w:szCs w:val="24"/>
                <w:lang w:val="en-US" w:eastAsia="de-DE"/>
                <w14:ligatures w14:val="none"/>
              </w:rPr>
            </w:pPr>
          </w:p>
        </w:tc>
        <w:tc>
          <w:tcPr>
            <w:tcW w:w="0" w:type="auto"/>
            <w:gridSpan w:val="3"/>
            <w:tcMar>
              <w:top w:w="96" w:type="dxa"/>
              <w:left w:w="0" w:type="dxa"/>
              <w:bottom w:w="0" w:type="dxa"/>
              <w:right w:w="360" w:type="dxa"/>
            </w:tcMar>
            <w:hideMark/>
          </w:tcPr>
          <w:p w14:paraId="0274BDB7" w14:textId="77777777" w:rsidR="003D3AE7" w:rsidRPr="003D3AE7" w:rsidRDefault="003D3AE7" w:rsidP="003D3AE7">
            <w:pPr>
              <w:pBdr>
                <w:bottom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Formularbeginn</w:t>
            </w:r>
          </w:p>
          <w:p w14:paraId="0AC750C1" w14:textId="77777777" w:rsidR="003D3AE7" w:rsidRPr="003D3AE7" w:rsidRDefault="003D3AE7" w:rsidP="003D3AE7">
            <w:pPr>
              <w:pBdr>
                <w:top w:val="single" w:sz="6" w:space="1" w:color="auto"/>
              </w:pBdr>
              <w:spacing w:after="0" w:line="240" w:lineRule="auto"/>
              <w:jc w:val="center"/>
              <w:rPr>
                <w:rFonts w:eastAsia="Times New Roman" w:cs="Arial"/>
                <w:vanish/>
                <w:kern w:val="0"/>
                <w:sz w:val="16"/>
                <w:szCs w:val="16"/>
                <w:lang w:eastAsia="de-DE"/>
                <w14:ligatures w14:val="none"/>
              </w:rPr>
            </w:pPr>
            <w:r w:rsidRPr="003D3AE7">
              <w:rPr>
                <w:rFonts w:eastAsia="Times New Roman" w:cs="Arial"/>
                <w:vanish/>
                <w:kern w:val="0"/>
                <w:sz w:val="16"/>
                <w:szCs w:val="16"/>
                <w:lang w:eastAsia="de-DE"/>
                <w14:ligatures w14:val="none"/>
              </w:rPr>
              <w:t>Formularende</w:t>
            </w:r>
          </w:p>
          <w:p w14:paraId="1B71B85C"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b/>
                <w:bCs/>
                <w:kern w:val="0"/>
                <w:sz w:val="24"/>
                <w:szCs w:val="24"/>
                <w:lang w:val="en-US" w:eastAsia="de-DE"/>
                <w14:ligatures w14:val="none"/>
              </w:rPr>
              <w:t>Simulation of an electromagnetic vibration energy harvester and possibilities of increasing efficiency and scalability</w:t>
            </w:r>
            <w:r w:rsidRPr="003D3AE7">
              <w:rPr>
                <w:rFonts w:ascii="Times New Roman" w:eastAsia="Times New Roman" w:hAnsi="Times New Roman" w:cs="Times New Roman"/>
                <w:kern w:val="0"/>
                <w:sz w:val="24"/>
                <w:szCs w:val="24"/>
                <w:lang w:val="en-US" w:eastAsia="de-DE"/>
                <w14:ligatures w14:val="none"/>
              </w:rPr>
              <w:t> — •</w:t>
            </w:r>
            <w:r w:rsidRPr="003D3AE7">
              <w:rPr>
                <w:rFonts w:ascii="Times New Roman" w:eastAsia="Times New Roman" w:hAnsi="Times New Roman" w:cs="Times New Roman"/>
                <w:smallCaps/>
                <w:kern w:val="0"/>
                <w:sz w:val="24"/>
                <w:szCs w:val="24"/>
                <w:lang w:val="en-US" w:eastAsia="de-DE"/>
                <w14:ligatures w14:val="none"/>
              </w:rPr>
              <w:t xml:space="preserve">Eugen </w:t>
            </w:r>
            <w:proofErr w:type="spellStart"/>
            <w:r w:rsidRPr="003D3AE7">
              <w:rPr>
                <w:rFonts w:ascii="Times New Roman" w:eastAsia="Times New Roman" w:hAnsi="Times New Roman" w:cs="Times New Roman"/>
                <w:smallCaps/>
                <w:kern w:val="0"/>
                <w:sz w:val="24"/>
                <w:szCs w:val="24"/>
                <w:lang w:val="en-US" w:eastAsia="de-DE"/>
                <w14:ligatures w14:val="none"/>
              </w:rPr>
              <w:t>Vambolt</w:t>
            </w:r>
            <w:proofErr w:type="spellEnd"/>
            <w:r w:rsidRPr="003D3AE7">
              <w:rPr>
                <w:rFonts w:ascii="Times New Roman" w:eastAsia="Times New Roman" w:hAnsi="Times New Roman" w:cs="Times New Roman"/>
                <w:kern w:val="0"/>
                <w:sz w:val="24"/>
                <w:szCs w:val="24"/>
                <w:lang w:val="en-US" w:eastAsia="de-DE"/>
                <w14:ligatures w14:val="none"/>
              </w:rPr>
              <w:t xml:space="preserve"> — </w:t>
            </w:r>
            <w:proofErr w:type="spellStart"/>
            <w:r w:rsidRPr="003D3AE7">
              <w:rPr>
                <w:rFonts w:ascii="Times New Roman" w:eastAsia="Times New Roman" w:hAnsi="Times New Roman" w:cs="Times New Roman"/>
                <w:kern w:val="0"/>
                <w:sz w:val="24"/>
                <w:szCs w:val="24"/>
                <w:lang w:val="en-US" w:eastAsia="de-DE"/>
                <w14:ligatures w14:val="none"/>
              </w:rPr>
              <w:t>Technische</w:t>
            </w:r>
            <w:proofErr w:type="spellEnd"/>
            <w:r w:rsidRPr="003D3AE7">
              <w:rPr>
                <w:rFonts w:ascii="Times New Roman" w:eastAsia="Times New Roman" w:hAnsi="Times New Roman" w:cs="Times New Roman"/>
                <w:kern w:val="0"/>
                <w:sz w:val="24"/>
                <w:szCs w:val="24"/>
                <w:lang w:val="en-US" w:eastAsia="de-DE"/>
                <w14:ligatures w14:val="none"/>
              </w:rPr>
              <w:t xml:space="preserve"> Hochschule Nürnberg Georg Simon Ohm</w:t>
            </w:r>
          </w:p>
          <w:p w14:paraId="74BA5665" w14:textId="77777777" w:rsidR="003D3AE7" w:rsidRPr="003D3AE7" w:rsidRDefault="003D3AE7" w:rsidP="003D3AE7">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3D3AE7">
              <w:rPr>
                <w:rFonts w:ascii="Times New Roman" w:eastAsia="Times New Roman" w:hAnsi="Times New Roman" w:cs="Times New Roman"/>
                <w:kern w:val="0"/>
                <w:sz w:val="24"/>
                <w:szCs w:val="24"/>
                <w:lang w:val="en-US" w:eastAsia="de-DE"/>
                <w14:ligatures w14:val="none"/>
              </w:rPr>
              <w:t xml:space="preserve">To ensure the reliability of infrastructures such as roads, bridges, buildings, etc., they must be constantly monitored. To this end, networks of wireless sensor nodes are increasingly being used, which can be operated autonomously </w:t>
            </w:r>
            <w:proofErr w:type="gramStart"/>
            <w:r w:rsidRPr="003D3AE7">
              <w:rPr>
                <w:rFonts w:ascii="Times New Roman" w:eastAsia="Times New Roman" w:hAnsi="Times New Roman" w:cs="Times New Roman"/>
                <w:kern w:val="0"/>
                <w:sz w:val="24"/>
                <w:szCs w:val="24"/>
                <w:lang w:val="en-US" w:eastAsia="de-DE"/>
                <w14:ligatures w14:val="none"/>
              </w:rPr>
              <w:t>through the use of</w:t>
            </w:r>
            <w:proofErr w:type="gramEnd"/>
            <w:r w:rsidRPr="003D3AE7">
              <w:rPr>
                <w:rFonts w:ascii="Times New Roman" w:eastAsia="Times New Roman" w:hAnsi="Times New Roman" w:cs="Times New Roman"/>
                <w:kern w:val="0"/>
                <w:sz w:val="24"/>
                <w:szCs w:val="24"/>
                <w:lang w:val="en-US" w:eastAsia="de-DE"/>
                <w14:ligatures w14:val="none"/>
              </w:rPr>
              <w:t xml:space="preserve"> energy harvesters. Energy harvesters are small modules that can convert ambient energy such as light, vibration or temperature differences into electrical energy. The use of Vibration Energy Harvesters (VEH) is therefore ideal for applications that are associated with vibrations or shocks. There are several types of VEH, depending on how they work. One type of VEH is based on electromagnetic induction. Although there are different designs, the principle is the same: a magnet set in oscillation by vibrations or shocks induces an electrical voltage in a fixed coil, which can be used to supply the sensor nodes with energy </w:t>
            </w:r>
            <w:proofErr w:type="gramStart"/>
            <w:r w:rsidRPr="003D3AE7">
              <w:rPr>
                <w:rFonts w:ascii="Times New Roman" w:eastAsia="Times New Roman" w:hAnsi="Times New Roman" w:cs="Times New Roman"/>
                <w:kern w:val="0"/>
                <w:sz w:val="24"/>
                <w:szCs w:val="24"/>
                <w:lang w:val="en-US" w:eastAsia="de-DE"/>
                <w14:ligatures w14:val="none"/>
              </w:rPr>
              <w:t>through the use of</w:t>
            </w:r>
            <w:proofErr w:type="gramEnd"/>
            <w:r w:rsidRPr="003D3AE7">
              <w:rPr>
                <w:rFonts w:ascii="Times New Roman" w:eastAsia="Times New Roman" w:hAnsi="Times New Roman" w:cs="Times New Roman"/>
                <w:kern w:val="0"/>
                <w:sz w:val="24"/>
                <w:szCs w:val="24"/>
                <w:lang w:val="en-US" w:eastAsia="de-DE"/>
                <w14:ligatures w14:val="none"/>
              </w:rPr>
              <w:t xml:space="preserve"> low-power electronics. By changing the topological and material properties of the individual components, it is possible to increase performance and efficiency. In this thesis, a model of the electromagnetic vibration energy collector is constructed and a </w:t>
            </w:r>
            <w:proofErr w:type="spellStart"/>
            <w:r w:rsidRPr="003D3AE7">
              <w:rPr>
                <w:rFonts w:ascii="Times New Roman" w:eastAsia="Times New Roman" w:hAnsi="Times New Roman" w:cs="Times New Roman"/>
                <w:kern w:val="0"/>
                <w:sz w:val="24"/>
                <w:szCs w:val="24"/>
                <w:lang w:val="en-US" w:eastAsia="de-DE"/>
                <w14:ligatures w14:val="none"/>
              </w:rPr>
              <w:t>multiphysical</w:t>
            </w:r>
            <w:proofErr w:type="spellEnd"/>
            <w:r w:rsidRPr="003D3AE7">
              <w:rPr>
                <w:rFonts w:ascii="Times New Roman" w:eastAsia="Times New Roman" w:hAnsi="Times New Roman" w:cs="Times New Roman"/>
                <w:kern w:val="0"/>
                <w:sz w:val="24"/>
                <w:szCs w:val="24"/>
                <w:lang w:val="en-US" w:eastAsia="de-DE"/>
                <w14:ligatures w14:val="none"/>
              </w:rPr>
              <w:t xml:space="preserve"> simulation is carried out. In addition, a possibility of scaling by varying the design and materials will be demonstrated.</w:t>
            </w:r>
          </w:p>
        </w:tc>
      </w:tr>
    </w:tbl>
    <w:p w14:paraId="69A2AF37" w14:textId="77777777" w:rsidR="009F043D" w:rsidRPr="00191792" w:rsidRDefault="003D3AE7" w:rsidP="009F043D">
      <w:pPr>
        <w:spacing w:after="0" w:line="240" w:lineRule="auto"/>
        <w:rPr>
          <w:rFonts w:ascii="Verdana" w:eastAsia="Times New Roman" w:hAnsi="Verdana" w:cs="Times New Roman"/>
          <w:color w:val="FFFFFF"/>
          <w:kern w:val="0"/>
          <w:sz w:val="19"/>
          <w:szCs w:val="19"/>
          <w:lang w:val="en-US" w:eastAsia="de-DE"/>
          <w14:ligatures w14:val="none"/>
        </w:rPr>
      </w:pPr>
      <w:r w:rsidRPr="00191792">
        <w:rPr>
          <w:rFonts w:ascii="Verdana" w:eastAsia="Times New Roman" w:hAnsi="Verdana" w:cs="Times New Roman"/>
          <w:color w:val="FFFFFF"/>
          <w:kern w:val="0"/>
          <w:sz w:val="19"/>
          <w:szCs w:val="19"/>
          <w:lang w:val="en-US" w:eastAsia="de-DE"/>
          <w14:ligatures w14:val="none"/>
        </w:rPr>
        <w:t>100% | </w:t>
      </w:r>
    </w:p>
    <w:p w14:paraId="7FE9496B" w14:textId="2128C366" w:rsidR="009F043D" w:rsidRPr="009F043D" w:rsidRDefault="009F043D" w:rsidP="009F043D">
      <w:pPr>
        <w:spacing w:after="0" w:line="240" w:lineRule="auto"/>
        <w:rPr>
          <w:rFonts w:ascii="Verdana" w:eastAsia="Times New Roman" w:hAnsi="Verdana" w:cs="Times New Roman"/>
          <w:color w:val="FFFFFF"/>
          <w:kern w:val="0"/>
          <w:sz w:val="19"/>
          <w:szCs w:val="19"/>
          <w:lang w:val="en-US" w:eastAsia="de-DE"/>
          <w14:ligatures w14:val="none"/>
        </w:rPr>
      </w:pPr>
      <w:r w:rsidRPr="00191792">
        <w:rPr>
          <w:rFonts w:ascii="Verdana" w:eastAsia="Times New Roman" w:hAnsi="Verdana" w:cs="Times New Roman"/>
          <w:color w:val="FFFFFF"/>
          <w:kern w:val="0"/>
          <w:sz w:val="19"/>
          <w:szCs w:val="19"/>
          <w:lang w:val="en-US" w:eastAsia="de-DE"/>
          <w14:ligatures w14:val="none"/>
        </w:rPr>
        <w:br w:type="column"/>
      </w:r>
      <w:r w:rsidRPr="009F043D">
        <w:rPr>
          <w:rFonts w:ascii="Verdana" w:eastAsia="Times New Roman" w:hAnsi="Verdana" w:cs="Times New Roman"/>
          <w:color w:val="FFFFFF"/>
          <w:kern w:val="0"/>
          <w:sz w:val="19"/>
          <w:szCs w:val="19"/>
          <w:lang w:val="en-US" w:eastAsia="de-DE"/>
          <w14:ligatures w14:val="none"/>
        </w:rPr>
        <w:lastRenderedPageBreak/>
        <w:t xml:space="preserve"> </w:t>
      </w:r>
    </w:p>
    <w:p w14:paraId="33B297E4" w14:textId="757D6BB6" w:rsidR="003D3AE7" w:rsidRPr="003D3AE7" w:rsidRDefault="003D3AE7" w:rsidP="003D3AE7">
      <w:pPr>
        <w:spacing w:after="0" w:line="240" w:lineRule="auto"/>
        <w:rPr>
          <w:rFonts w:ascii="Verdana" w:eastAsia="Times New Roman" w:hAnsi="Verdana" w:cs="Times New Roman"/>
          <w:color w:val="FFFFFF"/>
          <w:kern w:val="0"/>
          <w:sz w:val="19"/>
          <w:szCs w:val="19"/>
          <w:lang w:val="en-US" w:eastAsia="de-DE"/>
          <w14:ligatures w14:val="none"/>
        </w:rPr>
      </w:pPr>
      <w:r w:rsidRPr="003D3AE7">
        <w:rPr>
          <w:rFonts w:ascii="Verdana" w:eastAsia="Times New Roman" w:hAnsi="Verdana" w:cs="Times New Roman"/>
          <w:color w:val="FFFFFF"/>
          <w:kern w:val="0"/>
          <w:sz w:val="19"/>
          <w:szCs w:val="19"/>
          <w:lang w:val="en-US" w:eastAsia="de-DE"/>
          <w14:ligatures w14:val="none"/>
        </w:rPr>
        <w:t>&gt; Berlin</w:t>
      </w:r>
    </w:p>
    <w:p w14:paraId="63DA8B7C" w14:textId="77777777" w:rsidR="009F043D" w:rsidRPr="00391592" w:rsidRDefault="009F043D" w:rsidP="00391592">
      <w:pPr>
        <w:pStyle w:val="berschrift2"/>
        <w:rPr>
          <w:b/>
          <w:bCs/>
          <w:lang w:val="en-US"/>
        </w:rPr>
      </w:pPr>
      <w:bookmarkStart w:id="2" w:name="_Toc161051683"/>
      <w:r w:rsidRPr="00391592">
        <w:rPr>
          <w:b/>
          <w:bCs/>
          <w:lang w:val="en-US"/>
        </w:rPr>
        <w:t>AKE 2: Processes and Materials for Energy Technologies</w:t>
      </w:r>
      <w:bookmarkEnd w:id="2"/>
    </w:p>
    <w:p w14:paraId="5225FFB8" w14:textId="77777777" w:rsidR="009F043D" w:rsidRPr="00391592" w:rsidRDefault="009F043D" w:rsidP="00391592">
      <w:pPr>
        <w:rPr>
          <w:b/>
          <w:bCs/>
        </w:rPr>
      </w:pPr>
      <w:r w:rsidRPr="00391592">
        <w:rPr>
          <w:b/>
          <w:bCs/>
        </w:rPr>
        <w:t>Dienstag, 19. März 2024, 09:30–11:30, TC 006</w:t>
      </w:r>
    </w:p>
    <w:p w14:paraId="16D0105C" w14:textId="77777777" w:rsidR="009F043D" w:rsidRPr="009F043D" w:rsidRDefault="009F043D" w:rsidP="009F043D">
      <w:pPr>
        <w:rPr>
          <w:vanish/>
        </w:rPr>
      </w:pPr>
      <w:r w:rsidRPr="009F043D">
        <w:rPr>
          <w:vanish/>
        </w:rPr>
        <w:t>Formularbeginn</w:t>
      </w:r>
    </w:p>
    <w:p w14:paraId="59CFC94A" w14:textId="77777777" w:rsidR="009F043D" w:rsidRPr="009F043D" w:rsidRDefault="009F043D" w:rsidP="009F043D">
      <w:pPr>
        <w:rPr>
          <w:vanish/>
        </w:rPr>
      </w:pPr>
      <w:r w:rsidRPr="009F043D">
        <w:rPr>
          <w:vanish/>
        </w:rPr>
        <w:t>Formularende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5"/>
        <w:gridCol w:w="941"/>
        <w:gridCol w:w="1198"/>
        <w:gridCol w:w="6288"/>
      </w:tblGrid>
      <w:tr w:rsidR="009F043D" w:rsidRPr="003C1CAD" w14:paraId="6FE58C37" w14:textId="77777777" w:rsidTr="009F043D">
        <w:trPr>
          <w:tblCellSpacing w:w="15" w:type="dxa"/>
        </w:trPr>
        <w:tc>
          <w:tcPr>
            <w:tcW w:w="0" w:type="auto"/>
            <w:tcMar>
              <w:top w:w="96" w:type="dxa"/>
              <w:left w:w="0" w:type="dxa"/>
              <w:bottom w:w="0" w:type="dxa"/>
              <w:right w:w="360" w:type="dxa"/>
            </w:tcMar>
            <w:hideMark/>
          </w:tcPr>
          <w:p w14:paraId="136A13D9" w14:textId="1077D42C" w:rsidR="009F043D" w:rsidRPr="009F043D" w:rsidRDefault="009F043D" w:rsidP="009F043D">
            <w:r w:rsidRPr="009F043D">
              <w:rPr>
                <w:noProof/>
              </w:rPr>
              <w:drawing>
                <wp:inline distT="0" distB="0" distL="0" distR="0" wp14:anchorId="77D6ACC0" wp14:editId="7FFFB962">
                  <wp:extent cx="152400" cy="152400"/>
                  <wp:effectExtent l="0" t="0" r="0" b="0"/>
                  <wp:docPr id="1624847145" name="Grafik 10" descr="Ein Bild, das Kreis, Symbol, Logo, Design enthält.&#10;&#10;Automatisch generierte Beschreibu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47145" name="Grafik 10" descr="Ein Bild, das Kreis, Symbol, Logo, Design enthält.&#10;&#10;Automatisch generierte Beschreibung">
                            <a:hlinkClick r:id="rId28"/>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678817E3" w14:textId="77777777" w:rsidR="009F043D" w:rsidRPr="009F043D" w:rsidRDefault="009F043D" w:rsidP="009F043D">
            <w:r w:rsidRPr="009F043D">
              <w:t>09:30</w:t>
            </w:r>
          </w:p>
        </w:tc>
        <w:tc>
          <w:tcPr>
            <w:tcW w:w="0" w:type="auto"/>
            <w:noWrap/>
            <w:tcMar>
              <w:top w:w="96" w:type="dxa"/>
              <w:left w:w="0" w:type="dxa"/>
              <w:bottom w:w="0" w:type="dxa"/>
              <w:right w:w="360" w:type="dxa"/>
            </w:tcMar>
            <w:hideMark/>
          </w:tcPr>
          <w:p w14:paraId="6B09582C" w14:textId="77777777" w:rsidR="009F043D" w:rsidRPr="009F043D" w:rsidRDefault="009F043D" w:rsidP="009F043D">
            <w:r w:rsidRPr="009F043D">
              <w:t>AKE 2.1</w:t>
            </w:r>
          </w:p>
        </w:tc>
        <w:tc>
          <w:tcPr>
            <w:tcW w:w="5000" w:type="pct"/>
            <w:tcMar>
              <w:top w:w="96" w:type="dxa"/>
              <w:left w:w="0" w:type="dxa"/>
              <w:bottom w:w="0" w:type="dxa"/>
              <w:right w:w="360" w:type="dxa"/>
            </w:tcMar>
            <w:hideMark/>
          </w:tcPr>
          <w:p w14:paraId="608881B9" w14:textId="77777777" w:rsidR="009F043D" w:rsidRPr="009F043D" w:rsidRDefault="009F043D" w:rsidP="009F043D">
            <w:pPr>
              <w:rPr>
                <w:lang w:val="en-US"/>
              </w:rPr>
            </w:pPr>
            <w:proofErr w:type="spellStart"/>
            <w:r w:rsidRPr="009F043D">
              <w:rPr>
                <w:b/>
                <w:bCs/>
                <w:lang w:val="en-US"/>
              </w:rPr>
              <w:t>Hauptvortrag</w:t>
            </w:r>
            <w:proofErr w:type="spellEnd"/>
            <w:r w:rsidRPr="009F043D">
              <w:rPr>
                <w:b/>
                <w:bCs/>
                <w:lang w:val="en-US"/>
              </w:rPr>
              <w:t>: </w:t>
            </w:r>
            <w:hyperlink r:id="rId29" w:history="1">
              <w:r w:rsidRPr="009F043D">
                <w:rPr>
                  <w:rStyle w:val="Hyperlink"/>
                  <w:lang w:val="en-US"/>
                </w:rPr>
                <w:t>Concepts for combining concentrating solar mirrors with PV modules</w:t>
              </w:r>
            </w:hyperlink>
            <w:r w:rsidRPr="009F043D">
              <w:rPr>
                <w:lang w:val="en-US"/>
              </w:rPr>
              <w:t xml:space="preserve"> — •Moritz </w:t>
            </w:r>
            <w:proofErr w:type="spellStart"/>
            <w:r w:rsidRPr="009F043D">
              <w:rPr>
                <w:lang w:val="en-US"/>
              </w:rPr>
              <w:t>Ruhwedel</w:t>
            </w:r>
            <w:proofErr w:type="spellEnd"/>
            <w:r w:rsidRPr="009F043D">
              <w:rPr>
                <w:lang w:val="en-US"/>
              </w:rPr>
              <w:t xml:space="preserve">, Kai Gehrke, Eckhard </w:t>
            </w:r>
            <w:proofErr w:type="spellStart"/>
            <w:r w:rsidRPr="009F043D">
              <w:rPr>
                <w:lang w:val="en-US"/>
              </w:rPr>
              <w:t>Lüpfert</w:t>
            </w:r>
            <w:proofErr w:type="spellEnd"/>
            <w:r w:rsidRPr="009F043D">
              <w:rPr>
                <w:lang w:val="en-US"/>
              </w:rPr>
              <w:t>, Florian Sutter, Peter Heller, and Robert Pitz-Paal</w:t>
            </w:r>
          </w:p>
        </w:tc>
      </w:tr>
      <w:tr w:rsidR="009F043D" w:rsidRPr="003C1CAD" w14:paraId="1728934B" w14:textId="77777777" w:rsidTr="009F043D">
        <w:trPr>
          <w:tblCellSpacing w:w="15" w:type="dxa"/>
        </w:trPr>
        <w:tc>
          <w:tcPr>
            <w:tcW w:w="0" w:type="auto"/>
            <w:tcMar>
              <w:top w:w="96" w:type="dxa"/>
              <w:left w:w="0" w:type="dxa"/>
              <w:bottom w:w="0" w:type="dxa"/>
              <w:right w:w="360" w:type="dxa"/>
            </w:tcMar>
            <w:hideMark/>
          </w:tcPr>
          <w:p w14:paraId="54411D67" w14:textId="77777777" w:rsidR="009F043D" w:rsidRPr="009F043D" w:rsidRDefault="009F043D" w:rsidP="009F043D">
            <w:pPr>
              <w:rPr>
                <w:lang w:val="en-US"/>
              </w:rPr>
            </w:pPr>
          </w:p>
        </w:tc>
        <w:tc>
          <w:tcPr>
            <w:tcW w:w="0" w:type="auto"/>
            <w:gridSpan w:val="3"/>
            <w:tcMar>
              <w:top w:w="96" w:type="dxa"/>
              <w:left w:w="0" w:type="dxa"/>
              <w:bottom w:w="0" w:type="dxa"/>
              <w:right w:w="360" w:type="dxa"/>
            </w:tcMar>
            <w:hideMark/>
          </w:tcPr>
          <w:p w14:paraId="6111E955" w14:textId="77777777" w:rsidR="009F043D" w:rsidRPr="008555EF" w:rsidRDefault="009F043D" w:rsidP="009F043D">
            <w:pPr>
              <w:rPr>
                <w:vanish/>
                <w:lang w:val="en-US"/>
              </w:rPr>
            </w:pPr>
            <w:proofErr w:type="spellStart"/>
            <w:r w:rsidRPr="008555EF">
              <w:rPr>
                <w:vanish/>
                <w:lang w:val="en-US"/>
              </w:rPr>
              <w:t>Formularbeginn</w:t>
            </w:r>
            <w:proofErr w:type="spellEnd"/>
          </w:p>
          <w:p w14:paraId="0B02C306" w14:textId="77777777" w:rsidR="009F043D" w:rsidRPr="008555EF" w:rsidRDefault="009F043D" w:rsidP="009F043D">
            <w:pPr>
              <w:rPr>
                <w:vanish/>
                <w:lang w:val="en-US"/>
              </w:rPr>
            </w:pPr>
            <w:proofErr w:type="spellStart"/>
            <w:r w:rsidRPr="008555EF">
              <w:rPr>
                <w:vanish/>
                <w:lang w:val="en-US"/>
              </w:rPr>
              <w:t>Formularende</w:t>
            </w:r>
            <w:proofErr w:type="spellEnd"/>
          </w:p>
          <w:p w14:paraId="04006558" w14:textId="77777777" w:rsidR="009F043D" w:rsidRPr="009F043D" w:rsidRDefault="009F043D" w:rsidP="009F043D">
            <w:pPr>
              <w:rPr>
                <w:lang w:val="en-US"/>
              </w:rPr>
            </w:pPr>
            <w:r w:rsidRPr="009F043D">
              <w:rPr>
                <w:b/>
                <w:bCs/>
                <w:lang w:val="en-US"/>
              </w:rPr>
              <w:t>Concepts for combining concentrating solar mirrors with PV modules</w:t>
            </w:r>
            <w:r w:rsidRPr="009F043D">
              <w:rPr>
                <w:lang w:val="en-US"/>
              </w:rPr>
              <w:t xml:space="preserve"> — •Moritz </w:t>
            </w:r>
            <w:proofErr w:type="spellStart"/>
            <w:r w:rsidRPr="009F043D">
              <w:rPr>
                <w:lang w:val="en-US"/>
              </w:rPr>
              <w:t>Ruhwedel</w:t>
            </w:r>
            <w:r w:rsidRPr="009F043D">
              <w:rPr>
                <w:vertAlign w:val="superscript"/>
                <w:lang w:val="en-US"/>
              </w:rPr>
              <w:t>1,2</w:t>
            </w:r>
            <w:proofErr w:type="spellEnd"/>
            <w:r w:rsidRPr="009F043D">
              <w:rPr>
                <w:lang w:val="en-US"/>
              </w:rPr>
              <w:t xml:space="preserve">, Kai </w:t>
            </w:r>
            <w:proofErr w:type="spellStart"/>
            <w:r w:rsidRPr="009F043D">
              <w:rPr>
                <w:lang w:val="en-US"/>
              </w:rPr>
              <w:t>Gehrke</w:t>
            </w:r>
            <w:r w:rsidRPr="009F043D">
              <w:rPr>
                <w:vertAlign w:val="superscript"/>
                <w:lang w:val="en-US"/>
              </w:rPr>
              <w:t>3</w:t>
            </w:r>
            <w:proofErr w:type="spellEnd"/>
            <w:r w:rsidRPr="009F043D">
              <w:rPr>
                <w:lang w:val="en-US"/>
              </w:rPr>
              <w:t xml:space="preserve">, Eckhard </w:t>
            </w:r>
            <w:proofErr w:type="spellStart"/>
            <w:r w:rsidRPr="009F043D">
              <w:rPr>
                <w:lang w:val="en-US"/>
              </w:rPr>
              <w:t>Lüpfert</w:t>
            </w:r>
            <w:r w:rsidRPr="009F043D">
              <w:rPr>
                <w:vertAlign w:val="superscript"/>
                <w:lang w:val="en-US"/>
              </w:rPr>
              <w:t>1</w:t>
            </w:r>
            <w:proofErr w:type="spellEnd"/>
            <w:r w:rsidRPr="009F043D">
              <w:rPr>
                <w:lang w:val="en-US"/>
              </w:rPr>
              <w:t xml:space="preserve">, Florian </w:t>
            </w:r>
            <w:proofErr w:type="spellStart"/>
            <w:r w:rsidRPr="009F043D">
              <w:rPr>
                <w:lang w:val="en-US"/>
              </w:rPr>
              <w:t>Sutter</w:t>
            </w:r>
            <w:r w:rsidRPr="009F043D">
              <w:rPr>
                <w:vertAlign w:val="superscript"/>
                <w:lang w:val="en-US"/>
              </w:rPr>
              <w:t>1</w:t>
            </w:r>
            <w:proofErr w:type="spellEnd"/>
            <w:r w:rsidRPr="009F043D">
              <w:rPr>
                <w:lang w:val="en-US"/>
              </w:rPr>
              <w:t xml:space="preserve">, Peter </w:t>
            </w:r>
            <w:proofErr w:type="spellStart"/>
            <w:r w:rsidRPr="009F043D">
              <w:rPr>
                <w:lang w:val="en-US"/>
              </w:rPr>
              <w:t>Heller</w:t>
            </w:r>
            <w:r w:rsidRPr="009F043D">
              <w:rPr>
                <w:vertAlign w:val="superscript"/>
                <w:lang w:val="en-US"/>
              </w:rPr>
              <w:t>1</w:t>
            </w:r>
            <w:proofErr w:type="spellEnd"/>
            <w:r w:rsidRPr="009F043D">
              <w:rPr>
                <w:lang w:val="en-US"/>
              </w:rPr>
              <w:t>, and Robert Pitz-</w:t>
            </w:r>
            <w:proofErr w:type="spellStart"/>
            <w:r w:rsidRPr="009F043D">
              <w:rPr>
                <w:lang w:val="en-US"/>
              </w:rPr>
              <w:t>Paal</w:t>
            </w:r>
            <w:r w:rsidRPr="009F043D">
              <w:rPr>
                <w:vertAlign w:val="superscript"/>
                <w:lang w:val="en-US"/>
              </w:rPr>
              <w:t>1,2</w:t>
            </w:r>
            <w:proofErr w:type="spellEnd"/>
            <w:r w:rsidRPr="009F043D">
              <w:rPr>
                <w:lang w:val="en-US"/>
              </w:rPr>
              <w:t> — </w:t>
            </w:r>
            <w:proofErr w:type="spellStart"/>
            <w:r w:rsidRPr="009F043D">
              <w:rPr>
                <w:vertAlign w:val="superscript"/>
                <w:lang w:val="en-US"/>
              </w:rPr>
              <w:t>1</w:t>
            </w:r>
            <w:r w:rsidRPr="009F043D">
              <w:rPr>
                <w:lang w:val="en-US"/>
              </w:rPr>
              <w:t>DLR</w:t>
            </w:r>
            <w:proofErr w:type="spellEnd"/>
            <w:r w:rsidRPr="009F043D">
              <w:rPr>
                <w:lang w:val="en-US"/>
              </w:rPr>
              <w:t xml:space="preserve"> (German Aerospace Center) Institute of Solar Research, Linder </w:t>
            </w:r>
            <w:proofErr w:type="spellStart"/>
            <w:r w:rsidRPr="009F043D">
              <w:rPr>
                <w:lang w:val="en-US"/>
              </w:rPr>
              <w:t>Höhe</w:t>
            </w:r>
            <w:proofErr w:type="spellEnd"/>
            <w:r w:rsidRPr="009F043D">
              <w:rPr>
                <w:lang w:val="en-US"/>
              </w:rPr>
              <w:t>, 51147 Köln, Germany — </w:t>
            </w:r>
            <w:proofErr w:type="spellStart"/>
            <w:r w:rsidRPr="009F043D">
              <w:rPr>
                <w:vertAlign w:val="superscript"/>
                <w:lang w:val="en-US"/>
              </w:rPr>
              <w:t>2</w:t>
            </w:r>
            <w:r w:rsidRPr="009F043D">
              <w:rPr>
                <w:lang w:val="en-US"/>
              </w:rPr>
              <w:t>RWTH</w:t>
            </w:r>
            <w:proofErr w:type="spellEnd"/>
            <w:r w:rsidRPr="009F043D">
              <w:rPr>
                <w:lang w:val="en-US"/>
              </w:rPr>
              <w:t xml:space="preserve"> Aachen University, Chair of Solar Technology, Linder </w:t>
            </w:r>
            <w:proofErr w:type="spellStart"/>
            <w:r w:rsidRPr="009F043D">
              <w:rPr>
                <w:lang w:val="en-US"/>
              </w:rPr>
              <w:t>Höhe</w:t>
            </w:r>
            <w:proofErr w:type="spellEnd"/>
            <w:r w:rsidRPr="009F043D">
              <w:rPr>
                <w:lang w:val="en-US"/>
              </w:rPr>
              <w:t>, 51147 Köln, Germany — </w:t>
            </w:r>
            <w:proofErr w:type="spellStart"/>
            <w:r w:rsidRPr="009F043D">
              <w:rPr>
                <w:vertAlign w:val="superscript"/>
                <w:lang w:val="en-US"/>
              </w:rPr>
              <w:t>3</w:t>
            </w:r>
            <w:r w:rsidRPr="009F043D">
              <w:rPr>
                <w:lang w:val="en-US"/>
              </w:rPr>
              <w:t>DLR</w:t>
            </w:r>
            <w:proofErr w:type="spellEnd"/>
            <w:r w:rsidRPr="009F043D">
              <w:rPr>
                <w:lang w:val="en-US"/>
              </w:rPr>
              <w:t xml:space="preserve"> (German Aerospace Center) Institute of Networked Energy Systems, Carl-von-Ossietzky-Str. 15, 26129 Oldenburg, Germany</w:t>
            </w:r>
          </w:p>
          <w:p w14:paraId="1E3CA23C" w14:textId="77777777" w:rsidR="009F043D" w:rsidRPr="009F043D" w:rsidRDefault="009F043D" w:rsidP="009F043D">
            <w:pPr>
              <w:rPr>
                <w:lang w:val="en-US"/>
              </w:rPr>
            </w:pPr>
            <w:r w:rsidRPr="009F043D">
              <w:rPr>
                <w:lang w:val="en-US"/>
              </w:rPr>
              <w:t>Concentrating solar thermal (CST) technologies produce renewable, sustainable heat at elevated temperature. In this work four concepts are compared to integrate photovoltaic cells into CST heliostats and at tower receivers to increase efficiency and decrease cost of the systems. Based on previous research, parameters are derived which describe energy production and investment cost of the concepts. It is found that the integrated concepts can increase the total annual energy production of a concentrating solar power plant by 23% to 40%, justifying investment cost increase compared to the conventional configurations. According to this the concepts utilizing a spectrally selective mirror on top of PV cells to replace the concentrating mirrors are expected to be economically feasible. The concentrating PV concept produces electricity at lower cost than separate stand-alone PV if the spillage radiation flux around the receiver of CST tower plants is higher than around 350 kW/</w:t>
            </w:r>
            <w:proofErr w:type="spellStart"/>
            <w:r w:rsidRPr="009F043D">
              <w:rPr>
                <w:lang w:val="en-US"/>
              </w:rPr>
              <w:t>m2</w:t>
            </w:r>
            <w:proofErr w:type="spellEnd"/>
            <w:r w:rsidRPr="009F043D">
              <w:rPr>
                <w:lang w:val="en-US"/>
              </w:rPr>
              <w:t>.</w:t>
            </w:r>
          </w:p>
        </w:tc>
      </w:tr>
      <w:tr w:rsidR="009F043D" w:rsidRPr="003C1CAD" w14:paraId="467E43CC" w14:textId="77777777" w:rsidTr="009F043D">
        <w:trPr>
          <w:tblCellSpacing w:w="15" w:type="dxa"/>
        </w:trPr>
        <w:tc>
          <w:tcPr>
            <w:tcW w:w="0" w:type="auto"/>
            <w:tcMar>
              <w:top w:w="96" w:type="dxa"/>
              <w:left w:w="0" w:type="dxa"/>
              <w:bottom w:w="0" w:type="dxa"/>
              <w:right w:w="360" w:type="dxa"/>
            </w:tcMar>
            <w:hideMark/>
          </w:tcPr>
          <w:p w14:paraId="0AA76044" w14:textId="7F6E1421" w:rsidR="009F043D" w:rsidRPr="009F043D" w:rsidRDefault="009F043D" w:rsidP="009F043D">
            <w:r w:rsidRPr="009F043D">
              <w:rPr>
                <w:noProof/>
              </w:rPr>
              <w:drawing>
                <wp:inline distT="0" distB="0" distL="0" distR="0" wp14:anchorId="15FC95C4" wp14:editId="605D896D">
                  <wp:extent cx="152400" cy="152400"/>
                  <wp:effectExtent l="0" t="0" r="0" b="0"/>
                  <wp:docPr id="2034761068" name="Grafik 8" descr="Ein Bild, das Kreis, Symbol, Logo, Design enthält.&#10;&#10;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61068" name="Grafik 8" descr="Ein Bild, das Kreis, Symbol, Logo, Design enthält.&#10;&#10;Automatisch generierte Beschreibung">
                            <a:hlinkClick r:id="rId30"/>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5224D723" w14:textId="77777777" w:rsidR="009F043D" w:rsidRPr="009F043D" w:rsidRDefault="009F043D" w:rsidP="009F043D">
            <w:r w:rsidRPr="009F043D">
              <w:t>10:00</w:t>
            </w:r>
          </w:p>
        </w:tc>
        <w:tc>
          <w:tcPr>
            <w:tcW w:w="0" w:type="auto"/>
            <w:noWrap/>
            <w:tcMar>
              <w:top w:w="96" w:type="dxa"/>
              <w:left w:w="0" w:type="dxa"/>
              <w:bottom w:w="0" w:type="dxa"/>
              <w:right w:w="360" w:type="dxa"/>
            </w:tcMar>
            <w:hideMark/>
          </w:tcPr>
          <w:p w14:paraId="6A5E29A9" w14:textId="77777777" w:rsidR="009F043D" w:rsidRPr="009F043D" w:rsidRDefault="009F043D" w:rsidP="009F043D">
            <w:r w:rsidRPr="009F043D">
              <w:t>AKE 2.2</w:t>
            </w:r>
          </w:p>
        </w:tc>
        <w:tc>
          <w:tcPr>
            <w:tcW w:w="5000" w:type="pct"/>
            <w:tcMar>
              <w:top w:w="96" w:type="dxa"/>
              <w:left w:w="0" w:type="dxa"/>
              <w:bottom w:w="0" w:type="dxa"/>
              <w:right w:w="360" w:type="dxa"/>
            </w:tcMar>
            <w:hideMark/>
          </w:tcPr>
          <w:p w14:paraId="39713154" w14:textId="77777777" w:rsidR="009F043D" w:rsidRPr="009F043D" w:rsidRDefault="00000000" w:rsidP="009F043D">
            <w:pPr>
              <w:rPr>
                <w:lang w:val="en-US"/>
              </w:rPr>
            </w:pPr>
            <w:hyperlink r:id="rId31" w:history="1">
              <w:r w:rsidR="009F043D" w:rsidRPr="009F043D">
                <w:rPr>
                  <w:rStyle w:val="Hyperlink"/>
                  <w:lang w:val="en-US"/>
                </w:rPr>
                <w:t xml:space="preserve">Novel approach of advanced characterization, dedicated </w:t>
              </w:r>
              <w:proofErr w:type="gramStart"/>
              <w:r w:rsidR="009F043D" w:rsidRPr="009F043D">
                <w:rPr>
                  <w:rStyle w:val="Hyperlink"/>
                  <w:lang w:val="en-US"/>
                </w:rPr>
                <w:t>synthesis</w:t>
              </w:r>
              <w:proofErr w:type="gramEnd"/>
              <w:r w:rsidR="009F043D" w:rsidRPr="009F043D">
                <w:rPr>
                  <w:rStyle w:val="Hyperlink"/>
                  <w:lang w:val="en-US"/>
                </w:rPr>
                <w:t xml:space="preserve"> and theoretical modelling on commercially relevant Fischer-</w:t>
              </w:r>
              <w:proofErr w:type="spellStart"/>
              <w:r w:rsidR="009F043D" w:rsidRPr="009F043D">
                <w:rPr>
                  <w:rStyle w:val="Hyperlink"/>
                  <w:lang w:val="en-US"/>
                </w:rPr>
                <w:t>Tropsch</w:t>
              </w:r>
              <w:proofErr w:type="spellEnd"/>
              <w:r w:rsidR="009F043D" w:rsidRPr="009F043D">
                <w:rPr>
                  <w:rStyle w:val="Hyperlink"/>
                  <w:lang w:val="en-US"/>
                </w:rPr>
                <w:t xml:space="preserve"> catalysts for production of sustainable fuels &amp; chemicals: Bridging industry and academia</w:t>
              </w:r>
            </w:hyperlink>
            <w:r w:rsidR="009F043D" w:rsidRPr="009F043D">
              <w:rPr>
                <w:lang w:val="en-US"/>
              </w:rPr>
              <w:t xml:space="preserve"> — •Anna Zimina, Rabia </w:t>
            </w:r>
            <w:proofErr w:type="spellStart"/>
            <w:r w:rsidR="009F043D" w:rsidRPr="009F043D">
              <w:rPr>
                <w:lang w:val="en-US"/>
              </w:rPr>
              <w:t>Elbuga-Ilica</w:t>
            </w:r>
            <w:proofErr w:type="spellEnd"/>
            <w:r w:rsidR="009F043D" w:rsidRPr="009F043D">
              <w:rPr>
                <w:lang w:val="en-US"/>
              </w:rPr>
              <w:t>, Dan Zhao, Cherie Hsu, </w:t>
            </w:r>
            <w:proofErr w:type="spellStart"/>
            <w:r w:rsidR="009F043D" w:rsidRPr="009F043D">
              <w:rPr>
                <w:lang w:val="en-US"/>
              </w:rPr>
              <w:t>Erisa</w:t>
            </w:r>
            <w:proofErr w:type="spellEnd"/>
            <w:r w:rsidR="009F043D" w:rsidRPr="009F043D">
              <w:rPr>
                <w:lang w:val="en-US"/>
              </w:rPr>
              <w:t xml:space="preserve"> Saraci, Moritz Wolf, Felix Studt, Michael </w:t>
            </w:r>
            <w:proofErr w:type="spellStart"/>
            <w:r w:rsidR="009F043D" w:rsidRPr="009F043D">
              <w:rPr>
                <w:lang w:val="en-US"/>
              </w:rPr>
              <w:t>Cleays</w:t>
            </w:r>
            <w:proofErr w:type="spellEnd"/>
            <w:r w:rsidR="009F043D" w:rsidRPr="009F043D">
              <w:rPr>
                <w:lang w:val="en-US"/>
              </w:rPr>
              <w:t>, Denzil Moodley, and Jan-Dierk Grunwaldt</w:t>
            </w:r>
          </w:p>
        </w:tc>
      </w:tr>
      <w:tr w:rsidR="009F043D" w:rsidRPr="003C1CAD" w14:paraId="18EB89D5" w14:textId="77777777" w:rsidTr="009F043D">
        <w:trPr>
          <w:tblCellSpacing w:w="15" w:type="dxa"/>
        </w:trPr>
        <w:tc>
          <w:tcPr>
            <w:tcW w:w="0" w:type="auto"/>
            <w:tcMar>
              <w:top w:w="96" w:type="dxa"/>
              <w:left w:w="0" w:type="dxa"/>
              <w:bottom w:w="0" w:type="dxa"/>
              <w:right w:w="360" w:type="dxa"/>
            </w:tcMar>
            <w:hideMark/>
          </w:tcPr>
          <w:p w14:paraId="74FBD29B" w14:textId="77777777" w:rsidR="009F043D" w:rsidRPr="009F043D" w:rsidRDefault="009F043D" w:rsidP="009F043D">
            <w:pPr>
              <w:rPr>
                <w:lang w:val="en-US"/>
              </w:rPr>
            </w:pPr>
          </w:p>
        </w:tc>
        <w:tc>
          <w:tcPr>
            <w:tcW w:w="0" w:type="auto"/>
            <w:gridSpan w:val="3"/>
            <w:tcMar>
              <w:top w:w="96" w:type="dxa"/>
              <w:left w:w="0" w:type="dxa"/>
              <w:bottom w:w="0" w:type="dxa"/>
              <w:right w:w="360" w:type="dxa"/>
            </w:tcMar>
            <w:hideMark/>
          </w:tcPr>
          <w:p w14:paraId="7BCB7AEB" w14:textId="77777777" w:rsidR="009F043D" w:rsidRPr="008555EF" w:rsidRDefault="009F043D" w:rsidP="009F043D">
            <w:pPr>
              <w:rPr>
                <w:vanish/>
                <w:lang w:val="en-US"/>
              </w:rPr>
            </w:pPr>
            <w:proofErr w:type="spellStart"/>
            <w:r w:rsidRPr="008555EF">
              <w:rPr>
                <w:vanish/>
                <w:lang w:val="en-US"/>
              </w:rPr>
              <w:t>Formularbeginn</w:t>
            </w:r>
            <w:proofErr w:type="spellEnd"/>
          </w:p>
          <w:p w14:paraId="12FF3CAC" w14:textId="77777777" w:rsidR="009F043D" w:rsidRPr="008555EF" w:rsidRDefault="009F043D" w:rsidP="009F043D">
            <w:pPr>
              <w:rPr>
                <w:vanish/>
                <w:lang w:val="en-US"/>
              </w:rPr>
            </w:pPr>
            <w:proofErr w:type="spellStart"/>
            <w:r w:rsidRPr="008555EF">
              <w:rPr>
                <w:vanish/>
                <w:lang w:val="en-US"/>
              </w:rPr>
              <w:t>Formularende</w:t>
            </w:r>
            <w:proofErr w:type="spellEnd"/>
          </w:p>
          <w:p w14:paraId="512E60AD" w14:textId="77777777" w:rsidR="00847765" w:rsidRDefault="009F043D" w:rsidP="009F043D">
            <w:pPr>
              <w:rPr>
                <w:lang w:val="en-US"/>
              </w:rPr>
            </w:pPr>
            <w:r w:rsidRPr="009F043D">
              <w:rPr>
                <w:b/>
                <w:bCs/>
                <w:lang w:val="en-US"/>
              </w:rPr>
              <w:t xml:space="preserve">Novel approach of advanced characterization, dedicated </w:t>
            </w:r>
            <w:proofErr w:type="gramStart"/>
            <w:r w:rsidRPr="009F043D">
              <w:rPr>
                <w:b/>
                <w:bCs/>
                <w:lang w:val="en-US"/>
              </w:rPr>
              <w:t>synthesis</w:t>
            </w:r>
            <w:proofErr w:type="gramEnd"/>
            <w:r w:rsidRPr="009F043D">
              <w:rPr>
                <w:b/>
                <w:bCs/>
                <w:lang w:val="en-US"/>
              </w:rPr>
              <w:t xml:space="preserve"> and theoretical modelling on commercially relevant Fischer-</w:t>
            </w:r>
            <w:proofErr w:type="spellStart"/>
            <w:r w:rsidRPr="009F043D">
              <w:rPr>
                <w:b/>
                <w:bCs/>
                <w:lang w:val="en-US"/>
              </w:rPr>
              <w:t>Tropsch</w:t>
            </w:r>
            <w:proofErr w:type="spellEnd"/>
            <w:r w:rsidRPr="009F043D">
              <w:rPr>
                <w:b/>
                <w:bCs/>
                <w:lang w:val="en-US"/>
              </w:rPr>
              <w:t xml:space="preserve"> catalysts for production of sustainable fuels &amp; chemicals: Bridging industry and academia</w:t>
            </w:r>
            <w:r w:rsidRPr="009F043D">
              <w:rPr>
                <w:lang w:val="en-US"/>
              </w:rPr>
              <w:t xml:space="preserve"> — •Anna </w:t>
            </w:r>
            <w:proofErr w:type="spellStart"/>
            <w:r w:rsidRPr="009F043D">
              <w:rPr>
                <w:lang w:val="en-US"/>
              </w:rPr>
              <w:t>Zimina</w:t>
            </w:r>
            <w:r w:rsidRPr="009F043D">
              <w:rPr>
                <w:vertAlign w:val="superscript"/>
                <w:lang w:val="en-US"/>
              </w:rPr>
              <w:t>1</w:t>
            </w:r>
            <w:proofErr w:type="spellEnd"/>
            <w:r w:rsidRPr="009F043D">
              <w:rPr>
                <w:vertAlign w:val="superscript"/>
                <w:lang w:val="en-US"/>
              </w:rPr>
              <w:t>, 4</w:t>
            </w:r>
            <w:r w:rsidRPr="009F043D">
              <w:rPr>
                <w:lang w:val="en-US"/>
              </w:rPr>
              <w:t xml:space="preserve">, Rabia </w:t>
            </w:r>
            <w:proofErr w:type="spellStart"/>
            <w:r w:rsidRPr="009F043D">
              <w:rPr>
                <w:lang w:val="en-US"/>
              </w:rPr>
              <w:t>Elbuga-Ilica</w:t>
            </w:r>
            <w:r w:rsidRPr="009F043D">
              <w:rPr>
                <w:vertAlign w:val="superscript"/>
                <w:lang w:val="en-US"/>
              </w:rPr>
              <w:t>1</w:t>
            </w:r>
            <w:proofErr w:type="spellEnd"/>
            <w:r w:rsidRPr="009F043D">
              <w:rPr>
                <w:lang w:val="en-US"/>
              </w:rPr>
              <w:t xml:space="preserve">, Dan </w:t>
            </w:r>
            <w:proofErr w:type="spellStart"/>
            <w:r w:rsidRPr="009F043D">
              <w:rPr>
                <w:lang w:val="en-US"/>
              </w:rPr>
              <w:t>Zhao</w:t>
            </w:r>
            <w:r w:rsidRPr="009F043D">
              <w:rPr>
                <w:vertAlign w:val="superscript"/>
                <w:lang w:val="en-US"/>
              </w:rPr>
              <w:t>1</w:t>
            </w:r>
            <w:proofErr w:type="spellEnd"/>
            <w:r w:rsidRPr="009F043D">
              <w:rPr>
                <w:lang w:val="en-US"/>
              </w:rPr>
              <w:t xml:space="preserve">, Cherie </w:t>
            </w:r>
            <w:proofErr w:type="spellStart"/>
            <w:r w:rsidRPr="009F043D">
              <w:rPr>
                <w:lang w:val="en-US"/>
              </w:rPr>
              <w:t>Hsu</w:t>
            </w:r>
            <w:r w:rsidRPr="009F043D">
              <w:rPr>
                <w:vertAlign w:val="superscript"/>
                <w:lang w:val="en-US"/>
              </w:rPr>
              <w:t>1</w:t>
            </w:r>
            <w:proofErr w:type="spellEnd"/>
            <w:r w:rsidRPr="009F043D">
              <w:rPr>
                <w:lang w:val="en-US"/>
              </w:rPr>
              <w:t>, </w:t>
            </w:r>
            <w:proofErr w:type="spellStart"/>
            <w:r w:rsidRPr="009F043D">
              <w:rPr>
                <w:lang w:val="en-US"/>
              </w:rPr>
              <w:t>Erisa</w:t>
            </w:r>
            <w:proofErr w:type="spellEnd"/>
            <w:r w:rsidRPr="009F043D">
              <w:rPr>
                <w:lang w:val="en-US"/>
              </w:rPr>
              <w:t xml:space="preserve"> </w:t>
            </w:r>
            <w:proofErr w:type="spellStart"/>
            <w:r w:rsidRPr="009F043D">
              <w:rPr>
                <w:lang w:val="en-US"/>
              </w:rPr>
              <w:lastRenderedPageBreak/>
              <w:t>Saraci</w:t>
            </w:r>
            <w:r w:rsidRPr="009F043D">
              <w:rPr>
                <w:vertAlign w:val="superscript"/>
                <w:lang w:val="en-US"/>
              </w:rPr>
              <w:t>1</w:t>
            </w:r>
            <w:proofErr w:type="spellEnd"/>
            <w:r w:rsidRPr="009F043D">
              <w:rPr>
                <w:lang w:val="en-US"/>
              </w:rPr>
              <w:t>, Moritz Wolf</w:t>
            </w:r>
            <w:r w:rsidRPr="009F043D">
              <w:rPr>
                <w:vertAlign w:val="superscript"/>
                <w:lang w:val="en-US"/>
              </w:rPr>
              <w:t>1</w:t>
            </w:r>
            <w:r w:rsidRPr="009F043D">
              <w:rPr>
                <w:lang w:val="en-US"/>
              </w:rPr>
              <w:t xml:space="preserve">, Felix </w:t>
            </w:r>
            <w:proofErr w:type="spellStart"/>
            <w:r w:rsidRPr="009F043D">
              <w:rPr>
                <w:lang w:val="en-US"/>
              </w:rPr>
              <w:t>Studt</w:t>
            </w:r>
            <w:r w:rsidRPr="009F043D">
              <w:rPr>
                <w:vertAlign w:val="superscript"/>
                <w:lang w:val="en-US"/>
              </w:rPr>
              <w:t>1</w:t>
            </w:r>
            <w:proofErr w:type="spellEnd"/>
            <w:r w:rsidRPr="009F043D">
              <w:rPr>
                <w:lang w:val="en-US"/>
              </w:rPr>
              <w:t xml:space="preserve">, Michael </w:t>
            </w:r>
            <w:proofErr w:type="spellStart"/>
            <w:r w:rsidRPr="009F043D">
              <w:rPr>
                <w:lang w:val="en-US"/>
              </w:rPr>
              <w:t>Cleays</w:t>
            </w:r>
            <w:r w:rsidRPr="009F043D">
              <w:rPr>
                <w:vertAlign w:val="superscript"/>
                <w:lang w:val="en-US"/>
              </w:rPr>
              <w:t>2</w:t>
            </w:r>
            <w:proofErr w:type="spellEnd"/>
            <w:r w:rsidRPr="009F043D">
              <w:rPr>
                <w:lang w:val="en-US"/>
              </w:rPr>
              <w:t xml:space="preserve">, Denzil </w:t>
            </w:r>
            <w:proofErr w:type="spellStart"/>
            <w:r w:rsidRPr="009F043D">
              <w:rPr>
                <w:lang w:val="en-US"/>
              </w:rPr>
              <w:t>Moodley</w:t>
            </w:r>
            <w:r w:rsidRPr="009F043D">
              <w:rPr>
                <w:vertAlign w:val="superscript"/>
                <w:lang w:val="en-US"/>
              </w:rPr>
              <w:t>3</w:t>
            </w:r>
            <w:proofErr w:type="spellEnd"/>
            <w:r w:rsidRPr="009F043D">
              <w:rPr>
                <w:lang w:val="en-US"/>
              </w:rPr>
              <w:t xml:space="preserve">, and Jan-Dierk </w:t>
            </w:r>
            <w:proofErr w:type="spellStart"/>
            <w:r w:rsidRPr="009F043D">
              <w:rPr>
                <w:lang w:val="en-US"/>
              </w:rPr>
              <w:t>Grunwaldt</w:t>
            </w:r>
            <w:r w:rsidRPr="009F043D">
              <w:rPr>
                <w:vertAlign w:val="superscript"/>
                <w:lang w:val="en-US"/>
              </w:rPr>
              <w:t>1</w:t>
            </w:r>
            <w:proofErr w:type="spellEnd"/>
            <w:r w:rsidRPr="009F043D">
              <w:rPr>
                <w:vertAlign w:val="superscript"/>
                <w:lang w:val="en-US"/>
              </w:rPr>
              <w:t>, 4</w:t>
            </w:r>
            <w:r w:rsidRPr="009F043D">
              <w:rPr>
                <w:lang w:val="en-US"/>
              </w:rPr>
              <w:t> </w:t>
            </w:r>
          </w:p>
          <w:p w14:paraId="64C759F7" w14:textId="24A7B744" w:rsidR="009F043D" w:rsidRDefault="009F043D" w:rsidP="009F043D">
            <w:pPr>
              <w:rPr>
                <w:sz w:val="16"/>
                <w:szCs w:val="16"/>
                <w:lang w:val="en-US"/>
              </w:rPr>
            </w:pPr>
            <w:r w:rsidRPr="009F043D">
              <w:rPr>
                <w:sz w:val="16"/>
                <w:szCs w:val="16"/>
                <w:lang w:val="en-US"/>
              </w:rPr>
              <w:t>— </w:t>
            </w:r>
            <w:proofErr w:type="spellStart"/>
            <w:r w:rsidRPr="009F043D">
              <w:rPr>
                <w:sz w:val="16"/>
                <w:szCs w:val="16"/>
                <w:vertAlign w:val="superscript"/>
                <w:lang w:val="en-US"/>
              </w:rPr>
              <w:t>1</w:t>
            </w:r>
            <w:r w:rsidRPr="009F043D">
              <w:rPr>
                <w:sz w:val="16"/>
                <w:szCs w:val="16"/>
                <w:lang w:val="en-US"/>
              </w:rPr>
              <w:t>IKFT</w:t>
            </w:r>
            <w:proofErr w:type="spellEnd"/>
            <w:r w:rsidRPr="009F043D">
              <w:rPr>
                <w:sz w:val="16"/>
                <w:szCs w:val="16"/>
                <w:lang w:val="en-US"/>
              </w:rPr>
              <w:t xml:space="preserve">-KIT / </w:t>
            </w:r>
            <w:proofErr w:type="spellStart"/>
            <w:r w:rsidRPr="009F043D">
              <w:rPr>
                <w:sz w:val="16"/>
                <w:szCs w:val="16"/>
                <w:lang w:val="en-US"/>
              </w:rPr>
              <w:t>Eggenstein-Leopoldshafen</w:t>
            </w:r>
            <w:proofErr w:type="spellEnd"/>
            <w:r w:rsidRPr="009F043D">
              <w:rPr>
                <w:sz w:val="16"/>
                <w:szCs w:val="16"/>
                <w:lang w:val="en-US"/>
              </w:rPr>
              <w:t xml:space="preserve"> / Germany — </w:t>
            </w:r>
            <w:proofErr w:type="spellStart"/>
            <w:r w:rsidRPr="009F043D">
              <w:rPr>
                <w:sz w:val="16"/>
                <w:szCs w:val="16"/>
                <w:vertAlign w:val="superscript"/>
                <w:lang w:val="en-US"/>
              </w:rPr>
              <w:t>2</w:t>
            </w:r>
            <w:r w:rsidRPr="009F043D">
              <w:rPr>
                <w:sz w:val="16"/>
                <w:szCs w:val="16"/>
                <w:lang w:val="en-US"/>
              </w:rPr>
              <w:t>University</w:t>
            </w:r>
            <w:proofErr w:type="spellEnd"/>
            <w:r w:rsidRPr="009F043D">
              <w:rPr>
                <w:sz w:val="16"/>
                <w:szCs w:val="16"/>
                <w:lang w:val="en-US"/>
              </w:rPr>
              <w:t xml:space="preserve"> of Cape Town / South Africa — </w:t>
            </w:r>
            <w:proofErr w:type="spellStart"/>
            <w:r w:rsidRPr="009F043D">
              <w:rPr>
                <w:sz w:val="16"/>
                <w:szCs w:val="16"/>
                <w:vertAlign w:val="superscript"/>
                <w:lang w:val="en-US"/>
              </w:rPr>
              <w:t>3</w:t>
            </w:r>
            <w:r w:rsidRPr="009F043D">
              <w:rPr>
                <w:sz w:val="16"/>
                <w:szCs w:val="16"/>
                <w:lang w:val="en-US"/>
              </w:rPr>
              <w:t>Sasol</w:t>
            </w:r>
            <w:proofErr w:type="spellEnd"/>
            <w:r w:rsidRPr="009F043D">
              <w:rPr>
                <w:sz w:val="16"/>
                <w:szCs w:val="16"/>
                <w:lang w:val="en-US"/>
              </w:rPr>
              <w:t xml:space="preserve"> South Africa / South Africa — </w:t>
            </w:r>
            <w:proofErr w:type="spellStart"/>
            <w:r w:rsidRPr="009F043D">
              <w:rPr>
                <w:sz w:val="16"/>
                <w:szCs w:val="16"/>
                <w:vertAlign w:val="superscript"/>
                <w:lang w:val="en-US"/>
              </w:rPr>
              <w:t>4</w:t>
            </w:r>
            <w:r w:rsidRPr="009F043D">
              <w:rPr>
                <w:sz w:val="16"/>
                <w:szCs w:val="16"/>
                <w:lang w:val="en-US"/>
              </w:rPr>
              <w:t>ITCP</w:t>
            </w:r>
            <w:proofErr w:type="spellEnd"/>
            <w:r w:rsidRPr="009F043D">
              <w:rPr>
                <w:sz w:val="16"/>
                <w:szCs w:val="16"/>
                <w:lang w:val="en-US"/>
              </w:rPr>
              <w:t>-KIT / Karlsruhe / Germany</w:t>
            </w:r>
          </w:p>
          <w:p w14:paraId="565483CE" w14:textId="77777777" w:rsidR="00847765" w:rsidRPr="009F043D" w:rsidRDefault="00847765" w:rsidP="009F043D">
            <w:pPr>
              <w:rPr>
                <w:sz w:val="16"/>
                <w:szCs w:val="16"/>
                <w:lang w:val="en-US"/>
              </w:rPr>
            </w:pPr>
          </w:p>
          <w:p w14:paraId="4ED33D82" w14:textId="77777777" w:rsidR="009F043D" w:rsidRPr="009F043D" w:rsidRDefault="009F043D" w:rsidP="009F043D">
            <w:pPr>
              <w:rPr>
                <w:lang w:val="en-US"/>
              </w:rPr>
            </w:pPr>
            <w:r w:rsidRPr="009F043D">
              <w:rPr>
                <w:lang w:val="en-US"/>
              </w:rPr>
              <w:t>Power-to-liquid processes can be considered the key for renewable electricity-based liquid fuel generation. Various olefins can be synthesized via Fischer-</w:t>
            </w:r>
            <w:proofErr w:type="spellStart"/>
            <w:r w:rsidRPr="009F043D">
              <w:rPr>
                <w:lang w:val="en-US"/>
              </w:rPr>
              <w:t>Tropsch</w:t>
            </w:r>
            <w:proofErr w:type="spellEnd"/>
            <w:r w:rsidRPr="009F043D">
              <w:rPr>
                <w:lang w:val="en-US"/>
              </w:rPr>
              <w:t xml:space="preserve"> synthesis. The CARE-O-SENE consortium that connects German and South African partners is driven to accelerate the development of cobalt-based FT catalysts for green and efficient production of sustainable aviation fuel. For efficient development, systematic characterization of Co-based catalysts, especially in-situ and operando </w:t>
            </w:r>
            <w:proofErr w:type="gramStart"/>
            <w:r w:rsidRPr="009F043D">
              <w:rPr>
                <w:lang w:val="en-US"/>
              </w:rPr>
              <w:t>is</w:t>
            </w:r>
            <w:proofErr w:type="gramEnd"/>
            <w:r w:rsidRPr="009F043D">
              <w:rPr>
                <w:lang w:val="en-US"/>
              </w:rPr>
              <w:t xml:space="preserve"> essential to derive structure-activity relationships in reliable manner. X-ray absorption spectroscopy, X-ray diffraction, magnetometry and Raman spectroscopy are a highly promising tool as structural changes of active species, support and adsorbents can be observed in heterogeneous catalysts at work. Advanced studies of commercially relevant materials for FTS and model structures to mimic the atomic structure of active cobalt, promoter and support were performed and combined with theoretical modelling.</w:t>
            </w:r>
          </w:p>
        </w:tc>
      </w:tr>
      <w:tr w:rsidR="009F043D" w:rsidRPr="003C1CAD" w14:paraId="47392F0E" w14:textId="77777777" w:rsidTr="009F043D">
        <w:trPr>
          <w:tblCellSpacing w:w="15" w:type="dxa"/>
        </w:trPr>
        <w:tc>
          <w:tcPr>
            <w:tcW w:w="0" w:type="auto"/>
            <w:tcMar>
              <w:top w:w="96" w:type="dxa"/>
              <w:left w:w="0" w:type="dxa"/>
              <w:bottom w:w="0" w:type="dxa"/>
              <w:right w:w="360" w:type="dxa"/>
            </w:tcMar>
            <w:hideMark/>
          </w:tcPr>
          <w:p w14:paraId="1F136F8C" w14:textId="0F60D7E3" w:rsidR="009F043D" w:rsidRPr="009F043D" w:rsidRDefault="009F043D" w:rsidP="009F043D">
            <w:r w:rsidRPr="009F043D">
              <w:rPr>
                <w:noProof/>
              </w:rPr>
              <w:lastRenderedPageBreak/>
              <w:drawing>
                <wp:inline distT="0" distB="0" distL="0" distR="0" wp14:anchorId="221F8F5C" wp14:editId="57DB33D8">
                  <wp:extent cx="152400" cy="152400"/>
                  <wp:effectExtent l="0" t="0" r="0" b="0"/>
                  <wp:docPr id="1378508468" name="Grafik 6" descr="Ein Bild, das Kreis, Symbol, Logo, Design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08468" name="Grafik 6" descr="Ein Bild, das Kreis, Symbol, Logo, Design enthält.&#10;&#10;Automatisch generierte Beschreibung">
                            <a:hlinkClick r:id="rId3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47AB060E" w14:textId="77777777" w:rsidR="009F043D" w:rsidRPr="009F043D" w:rsidRDefault="009F043D" w:rsidP="009F043D">
            <w:r w:rsidRPr="009F043D">
              <w:t>10:15</w:t>
            </w:r>
          </w:p>
        </w:tc>
        <w:tc>
          <w:tcPr>
            <w:tcW w:w="0" w:type="auto"/>
            <w:noWrap/>
            <w:tcMar>
              <w:top w:w="96" w:type="dxa"/>
              <w:left w:w="0" w:type="dxa"/>
              <w:bottom w:w="0" w:type="dxa"/>
              <w:right w:w="360" w:type="dxa"/>
            </w:tcMar>
            <w:hideMark/>
          </w:tcPr>
          <w:p w14:paraId="071429C5" w14:textId="77777777" w:rsidR="009F043D" w:rsidRPr="009F043D" w:rsidRDefault="009F043D" w:rsidP="009F043D">
            <w:r w:rsidRPr="009F043D">
              <w:t>AKE 2.3</w:t>
            </w:r>
          </w:p>
        </w:tc>
        <w:tc>
          <w:tcPr>
            <w:tcW w:w="5000" w:type="pct"/>
            <w:tcMar>
              <w:top w:w="96" w:type="dxa"/>
              <w:left w:w="0" w:type="dxa"/>
              <w:bottom w:w="0" w:type="dxa"/>
              <w:right w:w="360" w:type="dxa"/>
            </w:tcMar>
            <w:hideMark/>
          </w:tcPr>
          <w:p w14:paraId="2B932683" w14:textId="77777777" w:rsidR="009F043D" w:rsidRPr="009F043D" w:rsidRDefault="00000000" w:rsidP="009F043D">
            <w:pPr>
              <w:rPr>
                <w:lang w:val="en-US"/>
              </w:rPr>
            </w:pPr>
            <w:hyperlink r:id="rId33" w:history="1">
              <w:r w:rsidR="009F043D" w:rsidRPr="009F043D">
                <w:rPr>
                  <w:rStyle w:val="Hyperlink"/>
                  <w:lang w:val="en-US"/>
                </w:rPr>
                <w:t xml:space="preserve">first </w:t>
              </w:r>
              <w:proofErr w:type="gramStart"/>
              <w:r w:rsidR="009F043D" w:rsidRPr="009F043D">
                <w:rPr>
                  <w:rStyle w:val="Hyperlink"/>
                  <w:lang w:val="en-US"/>
                </w:rPr>
                <w:t>principle</w:t>
              </w:r>
              <w:proofErr w:type="gramEnd"/>
              <w:r w:rsidR="009F043D" w:rsidRPr="009F043D">
                <w:rPr>
                  <w:rStyle w:val="Hyperlink"/>
                  <w:lang w:val="en-US"/>
                </w:rPr>
                <w:t xml:space="preserve"> exploration of twisted </w:t>
              </w:r>
              <w:proofErr w:type="spellStart"/>
              <w:r w:rsidR="009F043D" w:rsidRPr="009F043D">
                <w:rPr>
                  <w:rStyle w:val="Hyperlink"/>
                  <w:lang w:val="en-US"/>
                </w:rPr>
                <w:t>hBN-NbSe2</w:t>
              </w:r>
              <w:proofErr w:type="spellEnd"/>
              <w:r w:rsidR="009F043D" w:rsidRPr="009F043D">
                <w:rPr>
                  <w:rStyle w:val="Hyperlink"/>
                  <w:lang w:val="en-US"/>
                </w:rPr>
                <w:t xml:space="preserve"> hetero-structure and application as an electrode for li-ion battery</w:t>
              </w:r>
            </w:hyperlink>
            <w:r w:rsidR="009F043D" w:rsidRPr="009F043D">
              <w:rPr>
                <w:lang w:val="en-US"/>
              </w:rPr>
              <w:t> — •</w:t>
            </w:r>
            <w:proofErr w:type="spellStart"/>
            <w:r w:rsidR="009F043D" w:rsidRPr="009F043D">
              <w:rPr>
                <w:lang w:val="en-US"/>
              </w:rPr>
              <w:t>shubham</w:t>
            </w:r>
            <w:proofErr w:type="spellEnd"/>
            <w:r w:rsidR="009F043D" w:rsidRPr="009F043D">
              <w:rPr>
                <w:lang w:val="en-US"/>
              </w:rPr>
              <w:t xml:space="preserve"> </w:t>
            </w:r>
            <w:proofErr w:type="spellStart"/>
            <w:r w:rsidR="009F043D" w:rsidRPr="009F043D">
              <w:rPr>
                <w:lang w:val="en-US"/>
              </w:rPr>
              <w:t>sahoo</w:t>
            </w:r>
            <w:proofErr w:type="spellEnd"/>
            <w:r w:rsidR="009F043D" w:rsidRPr="009F043D">
              <w:rPr>
                <w:lang w:val="en-US"/>
              </w:rPr>
              <w:t> and </w:t>
            </w:r>
            <w:proofErr w:type="spellStart"/>
            <w:r w:rsidR="009F043D" w:rsidRPr="009F043D">
              <w:rPr>
                <w:lang w:val="en-US"/>
              </w:rPr>
              <w:t>soumya</w:t>
            </w:r>
            <w:proofErr w:type="spellEnd"/>
            <w:r w:rsidR="009F043D" w:rsidRPr="009F043D">
              <w:rPr>
                <w:lang w:val="en-US"/>
              </w:rPr>
              <w:t xml:space="preserve"> </w:t>
            </w:r>
            <w:proofErr w:type="spellStart"/>
            <w:r w:rsidR="009F043D" w:rsidRPr="009F043D">
              <w:rPr>
                <w:lang w:val="en-US"/>
              </w:rPr>
              <w:t>jyoti</w:t>
            </w:r>
            <w:proofErr w:type="spellEnd"/>
            <w:r w:rsidR="009F043D" w:rsidRPr="009F043D">
              <w:rPr>
                <w:lang w:val="en-US"/>
              </w:rPr>
              <w:t xml:space="preserve"> ray</w:t>
            </w:r>
          </w:p>
        </w:tc>
      </w:tr>
      <w:tr w:rsidR="009F043D" w:rsidRPr="003C1CAD" w14:paraId="055F37DF" w14:textId="77777777" w:rsidTr="009F043D">
        <w:trPr>
          <w:tblCellSpacing w:w="15" w:type="dxa"/>
        </w:trPr>
        <w:tc>
          <w:tcPr>
            <w:tcW w:w="0" w:type="auto"/>
            <w:tcMar>
              <w:top w:w="96" w:type="dxa"/>
              <w:left w:w="0" w:type="dxa"/>
              <w:bottom w:w="0" w:type="dxa"/>
              <w:right w:w="360" w:type="dxa"/>
            </w:tcMar>
            <w:hideMark/>
          </w:tcPr>
          <w:p w14:paraId="77CF0027" w14:textId="77777777" w:rsidR="009F043D" w:rsidRPr="009F043D" w:rsidRDefault="009F043D" w:rsidP="009F043D">
            <w:pPr>
              <w:rPr>
                <w:lang w:val="en-US"/>
              </w:rPr>
            </w:pPr>
          </w:p>
        </w:tc>
        <w:tc>
          <w:tcPr>
            <w:tcW w:w="0" w:type="auto"/>
            <w:gridSpan w:val="3"/>
            <w:tcMar>
              <w:top w:w="96" w:type="dxa"/>
              <w:left w:w="0" w:type="dxa"/>
              <w:bottom w:w="0" w:type="dxa"/>
              <w:right w:w="360" w:type="dxa"/>
            </w:tcMar>
            <w:hideMark/>
          </w:tcPr>
          <w:p w14:paraId="17C022AB" w14:textId="126443DC" w:rsidR="009F043D" w:rsidRPr="009F043D" w:rsidRDefault="008555EF" w:rsidP="009F043D">
            <w:pPr>
              <w:rPr>
                <w:lang w:val="en-US"/>
              </w:rPr>
            </w:pPr>
            <w:r>
              <w:rPr>
                <w:b/>
                <w:bCs/>
                <w:lang w:val="en-US"/>
              </w:rPr>
              <w:t>F</w:t>
            </w:r>
            <w:r w:rsidR="009F043D" w:rsidRPr="009F043D">
              <w:rPr>
                <w:b/>
                <w:bCs/>
                <w:lang w:val="en-US"/>
              </w:rPr>
              <w:t xml:space="preserve">irst </w:t>
            </w:r>
            <w:proofErr w:type="gramStart"/>
            <w:r w:rsidR="009F043D" w:rsidRPr="009F043D">
              <w:rPr>
                <w:b/>
                <w:bCs/>
                <w:lang w:val="en-US"/>
              </w:rPr>
              <w:t>principle</w:t>
            </w:r>
            <w:proofErr w:type="gramEnd"/>
            <w:r w:rsidR="009F043D" w:rsidRPr="009F043D">
              <w:rPr>
                <w:b/>
                <w:bCs/>
                <w:lang w:val="en-US"/>
              </w:rPr>
              <w:t xml:space="preserve"> exploration of twisted </w:t>
            </w:r>
            <w:proofErr w:type="spellStart"/>
            <w:r w:rsidR="009F043D" w:rsidRPr="009F043D">
              <w:rPr>
                <w:b/>
                <w:bCs/>
                <w:lang w:val="en-US"/>
              </w:rPr>
              <w:t>hBN-NbSe2</w:t>
            </w:r>
            <w:proofErr w:type="spellEnd"/>
            <w:r w:rsidR="009F043D" w:rsidRPr="009F043D">
              <w:rPr>
                <w:b/>
                <w:bCs/>
                <w:lang w:val="en-US"/>
              </w:rPr>
              <w:t xml:space="preserve"> hetero-structure and application as an electrode for li-ion battery</w:t>
            </w:r>
            <w:r w:rsidR="009F043D" w:rsidRPr="009F043D">
              <w:rPr>
                <w:lang w:val="en-US"/>
              </w:rPr>
              <w:t> — •</w:t>
            </w:r>
            <w:proofErr w:type="spellStart"/>
            <w:r w:rsidR="009F043D" w:rsidRPr="009F043D">
              <w:rPr>
                <w:lang w:val="en-US"/>
              </w:rPr>
              <w:t>shubham</w:t>
            </w:r>
            <w:proofErr w:type="spellEnd"/>
            <w:r w:rsidR="009F043D" w:rsidRPr="009F043D">
              <w:rPr>
                <w:lang w:val="en-US"/>
              </w:rPr>
              <w:t xml:space="preserve"> </w:t>
            </w:r>
            <w:proofErr w:type="spellStart"/>
            <w:r w:rsidR="009F043D" w:rsidRPr="009F043D">
              <w:rPr>
                <w:lang w:val="en-US"/>
              </w:rPr>
              <w:t>sahoo</w:t>
            </w:r>
            <w:proofErr w:type="spellEnd"/>
            <w:r w:rsidR="009F043D" w:rsidRPr="009F043D">
              <w:rPr>
                <w:lang w:val="en-US"/>
              </w:rPr>
              <w:t> and </w:t>
            </w:r>
            <w:proofErr w:type="spellStart"/>
            <w:r w:rsidR="009F043D" w:rsidRPr="009F043D">
              <w:rPr>
                <w:lang w:val="en-US"/>
              </w:rPr>
              <w:t>soumya</w:t>
            </w:r>
            <w:proofErr w:type="spellEnd"/>
            <w:r w:rsidR="009F043D" w:rsidRPr="009F043D">
              <w:rPr>
                <w:lang w:val="en-US"/>
              </w:rPr>
              <w:t xml:space="preserve"> </w:t>
            </w:r>
            <w:proofErr w:type="spellStart"/>
            <w:r w:rsidR="009F043D" w:rsidRPr="009F043D">
              <w:rPr>
                <w:lang w:val="en-US"/>
              </w:rPr>
              <w:t>jyoti</w:t>
            </w:r>
            <w:proofErr w:type="spellEnd"/>
            <w:r w:rsidR="009F043D" w:rsidRPr="009F043D">
              <w:rPr>
                <w:lang w:val="en-US"/>
              </w:rPr>
              <w:t xml:space="preserve"> ray — </w:t>
            </w:r>
            <w:proofErr w:type="spellStart"/>
            <w:r w:rsidR="009F043D" w:rsidRPr="009F043D">
              <w:rPr>
                <w:lang w:val="en-US"/>
              </w:rPr>
              <w:t>indian</w:t>
            </w:r>
            <w:proofErr w:type="spellEnd"/>
            <w:r w:rsidR="009F043D" w:rsidRPr="009F043D">
              <w:rPr>
                <w:lang w:val="en-US"/>
              </w:rPr>
              <w:t xml:space="preserve"> institute of technology </w:t>
            </w:r>
            <w:proofErr w:type="spellStart"/>
            <w:r w:rsidR="009F043D" w:rsidRPr="009F043D">
              <w:rPr>
                <w:lang w:val="en-US"/>
              </w:rPr>
              <w:t>patna</w:t>
            </w:r>
            <w:proofErr w:type="spellEnd"/>
            <w:r w:rsidR="009F043D" w:rsidRPr="009F043D">
              <w:rPr>
                <w:lang w:val="en-US"/>
              </w:rPr>
              <w:t xml:space="preserve">, </w:t>
            </w:r>
            <w:proofErr w:type="spellStart"/>
            <w:r w:rsidR="009F043D" w:rsidRPr="009F043D">
              <w:rPr>
                <w:lang w:val="en-US"/>
              </w:rPr>
              <w:t>bihta</w:t>
            </w:r>
            <w:proofErr w:type="spellEnd"/>
            <w:r w:rsidR="009F043D" w:rsidRPr="009F043D">
              <w:rPr>
                <w:lang w:val="en-US"/>
              </w:rPr>
              <w:t xml:space="preserve">, </w:t>
            </w:r>
            <w:proofErr w:type="spellStart"/>
            <w:r w:rsidR="009F043D" w:rsidRPr="009F043D">
              <w:rPr>
                <w:lang w:val="en-US"/>
              </w:rPr>
              <w:t>india</w:t>
            </w:r>
            <w:proofErr w:type="spellEnd"/>
            <w:r w:rsidR="009F043D" w:rsidRPr="009F043D">
              <w:rPr>
                <w:lang w:val="en-US"/>
              </w:rPr>
              <w:t>, 801106</w:t>
            </w:r>
          </w:p>
          <w:p w14:paraId="40FEADD2" w14:textId="77777777" w:rsidR="009F043D" w:rsidRPr="009F043D" w:rsidRDefault="009F043D" w:rsidP="009F043D">
            <w:pPr>
              <w:rPr>
                <w:lang w:val="en-US"/>
              </w:rPr>
            </w:pPr>
            <w:r w:rsidRPr="009F043D">
              <w:rPr>
                <w:lang w:val="en-US"/>
              </w:rPr>
              <w:t xml:space="preserve">In this work, we have designed a van der Walls hetero-structure made of conducting </w:t>
            </w:r>
            <w:proofErr w:type="spellStart"/>
            <w:r w:rsidRPr="009F043D">
              <w:rPr>
                <w:lang w:val="en-US"/>
              </w:rPr>
              <w:t>2D</w:t>
            </w:r>
            <w:proofErr w:type="spellEnd"/>
            <w:r w:rsidRPr="009F043D">
              <w:rPr>
                <w:lang w:val="en-US"/>
              </w:rPr>
              <w:t xml:space="preserve"> </w:t>
            </w:r>
            <w:proofErr w:type="spellStart"/>
            <w:r w:rsidRPr="009F043D">
              <w:rPr>
                <w:lang w:val="en-US"/>
              </w:rPr>
              <w:t>NbSe</w:t>
            </w:r>
            <w:r w:rsidRPr="009F043D">
              <w:rPr>
                <w:vertAlign w:val="subscript"/>
                <w:lang w:val="en-US"/>
              </w:rPr>
              <w:t>2</w:t>
            </w:r>
            <w:proofErr w:type="spellEnd"/>
            <w:r w:rsidRPr="009F043D">
              <w:rPr>
                <w:lang w:val="en-US"/>
              </w:rPr>
              <w:t> -layer and insulating hexagonal boron nitride (h-BN) and applied interlayer twist at different twist angles for potential application as an electrode in Li-ion battery. The hetero-structure offers a metallic character which makes the insulating h-BN capable of battery application. The adsorption site changes for different twist angles. For the twist angle of 5.21</w:t>
            </w:r>
            <w:r w:rsidRPr="009F043D">
              <w:rPr>
                <w:rFonts w:ascii="Cambria Math" w:hAnsi="Cambria Math" w:cs="Cambria Math"/>
                <w:vertAlign w:val="superscript"/>
                <w:lang w:val="en-US"/>
              </w:rPr>
              <w:t>∘</w:t>
            </w:r>
            <w:r w:rsidRPr="009F043D">
              <w:rPr>
                <w:lang w:val="en-US"/>
              </w:rPr>
              <w:t> and 54.79</w:t>
            </w:r>
            <w:r w:rsidRPr="009F043D">
              <w:rPr>
                <w:rFonts w:ascii="Cambria Math" w:hAnsi="Cambria Math" w:cs="Cambria Math"/>
                <w:vertAlign w:val="superscript"/>
                <w:lang w:val="en-US"/>
              </w:rPr>
              <w:t>∘</w:t>
            </w:r>
            <w:r w:rsidRPr="009F043D">
              <w:rPr>
                <w:lang w:val="en-US"/>
              </w:rPr>
              <w:t>, the H-site is the most favorable adsorption site but for all other twist angles, T-site stays the most favorable adsorption site. When the angle between surfaces is 19.11</w:t>
            </w:r>
            <w:r w:rsidRPr="009F043D">
              <w:rPr>
                <w:rFonts w:ascii="Cambria Math" w:hAnsi="Cambria Math" w:cs="Cambria Math"/>
                <w:vertAlign w:val="superscript"/>
                <w:lang w:val="en-US"/>
              </w:rPr>
              <w:t>∘</w:t>
            </w:r>
            <w:r w:rsidRPr="009F043D">
              <w:rPr>
                <w:lang w:val="en-US"/>
              </w:rPr>
              <w:t xml:space="preserve">, the </w:t>
            </w:r>
            <w:proofErr w:type="gramStart"/>
            <w:r w:rsidRPr="009F043D">
              <w:rPr>
                <w:lang w:val="en-US"/>
              </w:rPr>
              <w:t>hetero-structure</w:t>
            </w:r>
            <w:proofErr w:type="gramEnd"/>
            <w:r w:rsidRPr="009F043D">
              <w:rPr>
                <w:lang w:val="en-US"/>
              </w:rPr>
              <w:t xml:space="preserve"> shows better stability as compared to all other configurations in different twist angles. The adsorption energy gets enhanced compared to the individual </w:t>
            </w:r>
            <w:proofErr w:type="gramStart"/>
            <w:r w:rsidRPr="009F043D">
              <w:rPr>
                <w:lang w:val="en-US"/>
              </w:rPr>
              <w:t>mono-layers</w:t>
            </w:r>
            <w:proofErr w:type="gramEnd"/>
            <w:r w:rsidRPr="009F043D">
              <w:rPr>
                <w:lang w:val="en-US"/>
              </w:rPr>
              <w:t xml:space="preserve"> indicating better intercalation. At a twist angle of 19.11</w:t>
            </w:r>
            <w:r w:rsidRPr="009F043D">
              <w:rPr>
                <w:rFonts w:ascii="Cambria Math" w:hAnsi="Cambria Math" w:cs="Cambria Math"/>
                <w:vertAlign w:val="superscript"/>
                <w:lang w:val="en-US"/>
              </w:rPr>
              <w:t>∘</w:t>
            </w:r>
            <w:r w:rsidRPr="009F043D">
              <w:rPr>
                <w:lang w:val="en-US"/>
              </w:rPr>
              <w:t xml:space="preserve">, our structure is showing a minimum diffusion barrier of 0.6 eV whereas at all other twist angles, it shows nearly 0.9 eV barrier. The open circuit voltage is found to be 0.62 Volt. The structure is showing a specific capacity of 185 </w:t>
            </w:r>
            <w:proofErr w:type="spellStart"/>
            <w:r w:rsidRPr="009F043D">
              <w:rPr>
                <w:lang w:val="en-US"/>
              </w:rPr>
              <w:t>mAh</w:t>
            </w:r>
            <w:proofErr w:type="spellEnd"/>
            <w:r w:rsidRPr="009F043D">
              <w:rPr>
                <w:vertAlign w:val="superscript"/>
                <w:lang w:val="en-US"/>
              </w:rPr>
              <w:t>−1</w:t>
            </w:r>
            <w:r w:rsidRPr="009F043D">
              <w:rPr>
                <w:lang w:val="en-US"/>
              </w:rPr>
              <w:t> gm</w:t>
            </w:r>
            <w:r w:rsidRPr="009F043D">
              <w:rPr>
                <w:vertAlign w:val="superscript"/>
                <w:lang w:val="en-US"/>
              </w:rPr>
              <w:t>−1</w:t>
            </w:r>
            <w:r w:rsidRPr="009F043D">
              <w:rPr>
                <w:lang w:val="en-US"/>
              </w:rPr>
              <w:t>.</w:t>
            </w:r>
          </w:p>
        </w:tc>
      </w:tr>
      <w:tr w:rsidR="009F043D" w:rsidRPr="009F043D" w14:paraId="7F798CA6" w14:textId="77777777" w:rsidTr="009F043D">
        <w:trPr>
          <w:tblCellSpacing w:w="15" w:type="dxa"/>
        </w:trPr>
        <w:tc>
          <w:tcPr>
            <w:tcW w:w="0" w:type="auto"/>
            <w:tcMar>
              <w:top w:w="96" w:type="dxa"/>
              <w:left w:w="0" w:type="dxa"/>
              <w:bottom w:w="0" w:type="dxa"/>
              <w:right w:w="360" w:type="dxa"/>
            </w:tcMar>
            <w:hideMark/>
          </w:tcPr>
          <w:p w14:paraId="30EF0CAD" w14:textId="77777777" w:rsidR="009F043D" w:rsidRPr="009F043D" w:rsidRDefault="009F043D" w:rsidP="009F043D">
            <w:pPr>
              <w:rPr>
                <w:lang w:val="en-US"/>
              </w:rPr>
            </w:pPr>
            <w:r w:rsidRPr="009F043D">
              <w:rPr>
                <w:lang w:val="en-US"/>
              </w:rPr>
              <w:t> </w:t>
            </w:r>
          </w:p>
        </w:tc>
        <w:tc>
          <w:tcPr>
            <w:tcW w:w="0" w:type="auto"/>
            <w:noWrap/>
            <w:tcMar>
              <w:top w:w="96" w:type="dxa"/>
              <w:left w:w="0" w:type="dxa"/>
              <w:bottom w:w="0" w:type="dxa"/>
              <w:right w:w="360" w:type="dxa"/>
            </w:tcMar>
            <w:hideMark/>
          </w:tcPr>
          <w:p w14:paraId="5DC61832" w14:textId="77777777" w:rsidR="009F043D" w:rsidRPr="009F043D" w:rsidRDefault="009F043D" w:rsidP="009F043D">
            <w:r w:rsidRPr="009F043D">
              <w:t>10:30</w:t>
            </w:r>
          </w:p>
        </w:tc>
        <w:tc>
          <w:tcPr>
            <w:tcW w:w="0" w:type="auto"/>
            <w:noWrap/>
            <w:tcMar>
              <w:top w:w="96" w:type="dxa"/>
              <w:left w:w="0" w:type="dxa"/>
              <w:bottom w:w="0" w:type="dxa"/>
              <w:right w:w="360" w:type="dxa"/>
            </w:tcMar>
            <w:hideMark/>
          </w:tcPr>
          <w:p w14:paraId="139B1DB8" w14:textId="77777777" w:rsidR="009F043D" w:rsidRPr="009F043D" w:rsidRDefault="009F043D" w:rsidP="009F043D"/>
        </w:tc>
        <w:tc>
          <w:tcPr>
            <w:tcW w:w="5000" w:type="pct"/>
            <w:tcMar>
              <w:top w:w="96" w:type="dxa"/>
              <w:left w:w="0" w:type="dxa"/>
              <w:bottom w:w="0" w:type="dxa"/>
              <w:right w:w="360" w:type="dxa"/>
            </w:tcMar>
            <w:hideMark/>
          </w:tcPr>
          <w:p w14:paraId="40CFD05E" w14:textId="77777777" w:rsidR="009F043D" w:rsidRPr="009F043D" w:rsidRDefault="009F043D" w:rsidP="009F043D">
            <w:r w:rsidRPr="009F043D">
              <w:t>15 min. break</w:t>
            </w:r>
          </w:p>
        </w:tc>
      </w:tr>
      <w:tr w:rsidR="009F043D" w:rsidRPr="009F043D" w14:paraId="467535C1" w14:textId="77777777" w:rsidTr="009F043D">
        <w:trPr>
          <w:tblCellSpacing w:w="15" w:type="dxa"/>
        </w:trPr>
        <w:tc>
          <w:tcPr>
            <w:tcW w:w="0" w:type="auto"/>
            <w:tcMar>
              <w:top w:w="96" w:type="dxa"/>
              <w:left w:w="0" w:type="dxa"/>
              <w:bottom w:w="0" w:type="dxa"/>
              <w:right w:w="360" w:type="dxa"/>
            </w:tcMar>
            <w:hideMark/>
          </w:tcPr>
          <w:p w14:paraId="7515A8B9" w14:textId="77777777" w:rsidR="009F043D" w:rsidRPr="009F043D" w:rsidRDefault="009F043D" w:rsidP="009F043D"/>
        </w:tc>
        <w:tc>
          <w:tcPr>
            <w:tcW w:w="0" w:type="auto"/>
            <w:gridSpan w:val="3"/>
            <w:tcMar>
              <w:top w:w="96" w:type="dxa"/>
              <w:left w:w="0" w:type="dxa"/>
              <w:bottom w:w="0" w:type="dxa"/>
              <w:right w:w="360" w:type="dxa"/>
            </w:tcMar>
            <w:hideMark/>
          </w:tcPr>
          <w:p w14:paraId="5AF6BB1D" w14:textId="77777777" w:rsidR="009F043D" w:rsidRPr="009F043D" w:rsidRDefault="009F043D" w:rsidP="009F043D"/>
        </w:tc>
      </w:tr>
      <w:tr w:rsidR="009F043D" w:rsidRPr="009F043D" w14:paraId="1835716F" w14:textId="77777777" w:rsidTr="009F043D">
        <w:trPr>
          <w:tblCellSpacing w:w="15" w:type="dxa"/>
        </w:trPr>
        <w:tc>
          <w:tcPr>
            <w:tcW w:w="0" w:type="auto"/>
            <w:tcMar>
              <w:top w:w="96" w:type="dxa"/>
              <w:left w:w="0" w:type="dxa"/>
              <w:bottom w:w="0" w:type="dxa"/>
              <w:right w:w="360" w:type="dxa"/>
            </w:tcMar>
            <w:hideMark/>
          </w:tcPr>
          <w:p w14:paraId="199C0E5F" w14:textId="6C64383F" w:rsidR="009F043D" w:rsidRPr="009F043D" w:rsidRDefault="009F043D" w:rsidP="009F043D">
            <w:r w:rsidRPr="009F043D">
              <w:rPr>
                <w:noProof/>
              </w:rPr>
              <w:drawing>
                <wp:inline distT="0" distB="0" distL="0" distR="0" wp14:anchorId="2D9E790D" wp14:editId="276BC4A8">
                  <wp:extent cx="152400" cy="152400"/>
                  <wp:effectExtent l="0" t="0" r="0" b="0"/>
                  <wp:docPr id="1797585615" name="Grafik 4" descr="Ein Bild, das Kreis, Symbol, Logo, Design enthält.&#10;&#10;Automatisch generierte Beschreibu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85615" name="Grafik 4" descr="Ein Bild, das Kreis, Symbol, Logo, Design enthält.&#10;&#10;Automatisch generierte Beschreibung">
                            <a:hlinkClick r:id="rId34"/>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12E02383" w14:textId="77777777" w:rsidR="009F043D" w:rsidRPr="009F043D" w:rsidRDefault="009F043D" w:rsidP="009F043D">
            <w:r w:rsidRPr="009F043D">
              <w:t>10:45</w:t>
            </w:r>
          </w:p>
        </w:tc>
        <w:tc>
          <w:tcPr>
            <w:tcW w:w="0" w:type="auto"/>
            <w:noWrap/>
            <w:tcMar>
              <w:top w:w="96" w:type="dxa"/>
              <w:left w:w="0" w:type="dxa"/>
              <w:bottom w:w="0" w:type="dxa"/>
              <w:right w:w="360" w:type="dxa"/>
            </w:tcMar>
            <w:hideMark/>
          </w:tcPr>
          <w:p w14:paraId="3BBF19A1" w14:textId="77777777" w:rsidR="009F043D" w:rsidRPr="009F043D" w:rsidRDefault="009F043D" w:rsidP="009F043D">
            <w:r w:rsidRPr="009F043D">
              <w:t>AKE 2.4</w:t>
            </w:r>
          </w:p>
        </w:tc>
        <w:tc>
          <w:tcPr>
            <w:tcW w:w="5000" w:type="pct"/>
            <w:tcMar>
              <w:top w:w="96" w:type="dxa"/>
              <w:left w:w="0" w:type="dxa"/>
              <w:bottom w:w="0" w:type="dxa"/>
              <w:right w:w="360" w:type="dxa"/>
            </w:tcMar>
            <w:hideMark/>
          </w:tcPr>
          <w:p w14:paraId="2D470271" w14:textId="77777777" w:rsidR="009F043D" w:rsidRPr="009F043D" w:rsidRDefault="00000000" w:rsidP="009F043D">
            <w:hyperlink r:id="rId35" w:history="1">
              <w:proofErr w:type="spellStart"/>
              <w:r w:rsidR="009F043D" w:rsidRPr="009F043D">
                <w:rPr>
                  <w:rStyle w:val="Hyperlink"/>
                </w:rPr>
                <w:t>Mn-substituted</w:t>
              </w:r>
              <w:proofErr w:type="spellEnd"/>
              <w:r w:rsidR="009F043D" w:rsidRPr="009F043D">
                <w:rPr>
                  <w:rStyle w:val="Hyperlink"/>
                </w:rPr>
                <w:t xml:space="preserve"> </w:t>
              </w:r>
              <w:proofErr w:type="spellStart"/>
              <w:r w:rsidR="009F043D" w:rsidRPr="009F043D">
                <w:rPr>
                  <w:rStyle w:val="Hyperlink"/>
                </w:rPr>
                <w:t>V</w:t>
              </w:r>
              <w:r w:rsidR="009F043D" w:rsidRPr="009F043D">
                <w:rPr>
                  <w:rStyle w:val="Hyperlink"/>
                  <w:vertAlign w:val="subscript"/>
                </w:rPr>
                <w:t>2</w:t>
              </w:r>
              <w:r w:rsidR="009F043D" w:rsidRPr="009F043D">
                <w:rPr>
                  <w:rStyle w:val="Hyperlink"/>
                </w:rPr>
                <w:t>C</w:t>
              </w:r>
              <w:proofErr w:type="spellEnd"/>
              <w:r w:rsidR="009F043D" w:rsidRPr="009F043D">
                <w:rPr>
                  <w:rStyle w:val="Hyperlink"/>
                </w:rPr>
                <w:t xml:space="preserve"> </w:t>
              </w:r>
              <w:proofErr w:type="spellStart"/>
              <w:r w:rsidR="009F043D" w:rsidRPr="009F043D">
                <w:rPr>
                  <w:rStyle w:val="Hyperlink"/>
                </w:rPr>
                <w:t>MXene</w:t>
              </w:r>
              <w:proofErr w:type="spellEnd"/>
              <w:r w:rsidR="009F043D" w:rsidRPr="009F043D">
                <w:rPr>
                  <w:rStyle w:val="Hyperlink"/>
                </w:rPr>
                <w:t xml:space="preserve"> </w:t>
              </w:r>
              <w:proofErr w:type="spellStart"/>
              <w:r w:rsidR="009F043D" w:rsidRPr="009F043D">
                <w:rPr>
                  <w:rStyle w:val="Hyperlink"/>
                </w:rPr>
                <w:t>as</w:t>
              </w:r>
              <w:proofErr w:type="spellEnd"/>
              <w:r w:rsidR="009F043D" w:rsidRPr="009F043D">
                <w:rPr>
                  <w:rStyle w:val="Hyperlink"/>
                </w:rPr>
                <w:t xml:space="preserve"> </w:t>
              </w:r>
              <w:proofErr w:type="spellStart"/>
              <w:r w:rsidR="009F043D" w:rsidRPr="009F043D">
                <w:rPr>
                  <w:rStyle w:val="Hyperlink"/>
                </w:rPr>
                <w:t>anode</w:t>
              </w:r>
              <w:proofErr w:type="spellEnd"/>
              <w:r w:rsidR="009F043D" w:rsidRPr="009F043D">
                <w:rPr>
                  <w:rStyle w:val="Hyperlink"/>
                </w:rPr>
                <w:t xml:space="preserve"> </w:t>
              </w:r>
              <w:proofErr w:type="spellStart"/>
              <w:r w:rsidR="009F043D" w:rsidRPr="009F043D">
                <w:rPr>
                  <w:rStyle w:val="Hyperlink"/>
                </w:rPr>
                <w:t>materials</w:t>
              </w:r>
              <w:proofErr w:type="spellEnd"/>
              <w:r w:rsidR="009F043D" w:rsidRPr="009F043D">
                <w:rPr>
                  <w:rStyle w:val="Hyperlink"/>
                </w:rPr>
                <w:t xml:space="preserve"> </w:t>
              </w:r>
              <w:proofErr w:type="spellStart"/>
              <w:r w:rsidR="009F043D" w:rsidRPr="009F043D">
                <w:rPr>
                  <w:rStyle w:val="Hyperlink"/>
                </w:rPr>
                <w:t>for</w:t>
              </w:r>
              <w:proofErr w:type="spellEnd"/>
              <w:r w:rsidR="009F043D" w:rsidRPr="009F043D">
                <w:rPr>
                  <w:rStyle w:val="Hyperlink"/>
                </w:rPr>
                <w:t xml:space="preserve"> Li-Ion </w:t>
              </w:r>
              <w:proofErr w:type="spellStart"/>
              <w:r w:rsidR="009F043D" w:rsidRPr="009F043D">
                <w:rPr>
                  <w:rStyle w:val="Hyperlink"/>
                </w:rPr>
                <w:t>batteries</w:t>
              </w:r>
              <w:proofErr w:type="spellEnd"/>
            </w:hyperlink>
            <w:r w:rsidR="009F043D" w:rsidRPr="009F043D">
              <w:t xml:space="preserve"> — •Tobias König, Peng Guo, Tom Wickenhäuser, Lennart Singer, Peter </w:t>
            </w:r>
            <w:proofErr w:type="spellStart"/>
            <w:r w:rsidR="009F043D" w:rsidRPr="009F043D">
              <w:t>Comba</w:t>
            </w:r>
            <w:proofErr w:type="spellEnd"/>
            <w:r w:rsidR="009F043D" w:rsidRPr="009F043D">
              <w:t>, and Rüdiger Klingeler</w:t>
            </w:r>
          </w:p>
        </w:tc>
      </w:tr>
      <w:tr w:rsidR="009F043D" w:rsidRPr="003C1CAD" w14:paraId="7E73E306" w14:textId="77777777" w:rsidTr="009F043D">
        <w:trPr>
          <w:tblCellSpacing w:w="15" w:type="dxa"/>
        </w:trPr>
        <w:tc>
          <w:tcPr>
            <w:tcW w:w="0" w:type="auto"/>
            <w:tcMar>
              <w:top w:w="96" w:type="dxa"/>
              <w:left w:w="0" w:type="dxa"/>
              <w:bottom w:w="0" w:type="dxa"/>
              <w:right w:w="360" w:type="dxa"/>
            </w:tcMar>
            <w:hideMark/>
          </w:tcPr>
          <w:p w14:paraId="554D74A2" w14:textId="77777777" w:rsidR="009F043D" w:rsidRPr="009F043D" w:rsidRDefault="009F043D" w:rsidP="009F043D"/>
        </w:tc>
        <w:tc>
          <w:tcPr>
            <w:tcW w:w="0" w:type="auto"/>
            <w:gridSpan w:val="3"/>
            <w:tcMar>
              <w:top w:w="96" w:type="dxa"/>
              <w:left w:w="0" w:type="dxa"/>
              <w:bottom w:w="0" w:type="dxa"/>
              <w:right w:w="360" w:type="dxa"/>
            </w:tcMar>
            <w:hideMark/>
          </w:tcPr>
          <w:p w14:paraId="4636CEE0" w14:textId="77777777" w:rsidR="00847765" w:rsidRDefault="009F043D" w:rsidP="009F043D">
            <w:pPr>
              <w:rPr>
                <w:vertAlign w:val="superscript"/>
              </w:rPr>
            </w:pPr>
            <w:proofErr w:type="spellStart"/>
            <w:r w:rsidRPr="009F043D">
              <w:rPr>
                <w:b/>
                <w:bCs/>
              </w:rPr>
              <w:t>Mn-substituted</w:t>
            </w:r>
            <w:proofErr w:type="spellEnd"/>
            <w:r w:rsidRPr="009F043D">
              <w:rPr>
                <w:b/>
                <w:bCs/>
              </w:rPr>
              <w:t xml:space="preserve"> </w:t>
            </w:r>
            <w:proofErr w:type="spellStart"/>
            <w:r w:rsidRPr="009F043D">
              <w:rPr>
                <w:b/>
                <w:bCs/>
              </w:rPr>
              <w:t>V</w:t>
            </w:r>
            <w:r w:rsidRPr="009F043D">
              <w:rPr>
                <w:vertAlign w:val="subscript"/>
              </w:rPr>
              <w:t>2</w:t>
            </w:r>
            <w:r w:rsidRPr="009F043D">
              <w:rPr>
                <w:b/>
                <w:bCs/>
              </w:rPr>
              <w:t>C</w:t>
            </w:r>
            <w:proofErr w:type="spellEnd"/>
            <w:r w:rsidRPr="009F043D">
              <w:rPr>
                <w:b/>
                <w:bCs/>
              </w:rPr>
              <w:t xml:space="preserve"> </w:t>
            </w:r>
            <w:proofErr w:type="spellStart"/>
            <w:r w:rsidRPr="009F043D">
              <w:rPr>
                <w:b/>
                <w:bCs/>
              </w:rPr>
              <w:t>MXene</w:t>
            </w:r>
            <w:proofErr w:type="spellEnd"/>
            <w:r w:rsidRPr="009F043D">
              <w:rPr>
                <w:b/>
                <w:bCs/>
              </w:rPr>
              <w:t xml:space="preserve"> </w:t>
            </w:r>
            <w:proofErr w:type="spellStart"/>
            <w:r w:rsidRPr="009F043D">
              <w:rPr>
                <w:b/>
                <w:bCs/>
              </w:rPr>
              <w:t>as</w:t>
            </w:r>
            <w:proofErr w:type="spellEnd"/>
            <w:r w:rsidRPr="009F043D">
              <w:rPr>
                <w:b/>
                <w:bCs/>
              </w:rPr>
              <w:t xml:space="preserve"> </w:t>
            </w:r>
            <w:proofErr w:type="spellStart"/>
            <w:r w:rsidRPr="009F043D">
              <w:rPr>
                <w:b/>
                <w:bCs/>
              </w:rPr>
              <w:t>anode</w:t>
            </w:r>
            <w:proofErr w:type="spellEnd"/>
            <w:r w:rsidRPr="009F043D">
              <w:rPr>
                <w:b/>
                <w:bCs/>
              </w:rPr>
              <w:t xml:space="preserve"> </w:t>
            </w:r>
            <w:proofErr w:type="spellStart"/>
            <w:r w:rsidRPr="009F043D">
              <w:rPr>
                <w:b/>
                <w:bCs/>
              </w:rPr>
              <w:t>materials</w:t>
            </w:r>
            <w:proofErr w:type="spellEnd"/>
            <w:r w:rsidRPr="009F043D">
              <w:rPr>
                <w:b/>
                <w:bCs/>
              </w:rPr>
              <w:t xml:space="preserve"> </w:t>
            </w:r>
            <w:proofErr w:type="spellStart"/>
            <w:r w:rsidRPr="009F043D">
              <w:rPr>
                <w:b/>
                <w:bCs/>
              </w:rPr>
              <w:t>for</w:t>
            </w:r>
            <w:proofErr w:type="spellEnd"/>
            <w:r w:rsidRPr="009F043D">
              <w:rPr>
                <w:b/>
                <w:bCs/>
              </w:rPr>
              <w:t xml:space="preserve"> Li-Ion </w:t>
            </w:r>
            <w:proofErr w:type="spellStart"/>
            <w:r w:rsidRPr="009F043D">
              <w:rPr>
                <w:b/>
                <w:bCs/>
              </w:rPr>
              <w:t>batteries</w:t>
            </w:r>
            <w:proofErr w:type="spellEnd"/>
            <w:r w:rsidRPr="009F043D">
              <w:t xml:space="preserve"> — •Tobias </w:t>
            </w:r>
            <w:proofErr w:type="spellStart"/>
            <w:r w:rsidRPr="009F043D">
              <w:t>König</w:t>
            </w:r>
            <w:r w:rsidRPr="009F043D">
              <w:rPr>
                <w:vertAlign w:val="superscript"/>
              </w:rPr>
              <w:t>1</w:t>
            </w:r>
            <w:proofErr w:type="spellEnd"/>
            <w:r w:rsidRPr="009F043D">
              <w:t xml:space="preserve">, Peng </w:t>
            </w:r>
            <w:proofErr w:type="spellStart"/>
            <w:r w:rsidRPr="009F043D">
              <w:t>Guo</w:t>
            </w:r>
            <w:r w:rsidRPr="009F043D">
              <w:rPr>
                <w:vertAlign w:val="superscript"/>
              </w:rPr>
              <w:t>1</w:t>
            </w:r>
            <w:proofErr w:type="spellEnd"/>
            <w:r w:rsidRPr="009F043D">
              <w:rPr>
                <w:vertAlign w:val="superscript"/>
              </w:rPr>
              <w:t>, 2</w:t>
            </w:r>
            <w:r w:rsidRPr="009F043D">
              <w:t xml:space="preserve">, Tom </w:t>
            </w:r>
            <w:proofErr w:type="spellStart"/>
            <w:r w:rsidRPr="009F043D">
              <w:t>Wickenhäuser</w:t>
            </w:r>
            <w:r w:rsidRPr="009F043D">
              <w:rPr>
                <w:vertAlign w:val="superscript"/>
              </w:rPr>
              <w:t>1</w:t>
            </w:r>
            <w:proofErr w:type="spellEnd"/>
            <w:r w:rsidRPr="009F043D">
              <w:t xml:space="preserve">, Lennart </w:t>
            </w:r>
            <w:proofErr w:type="spellStart"/>
            <w:r w:rsidRPr="009F043D">
              <w:t>Singer</w:t>
            </w:r>
            <w:r w:rsidRPr="009F043D">
              <w:rPr>
                <w:vertAlign w:val="superscript"/>
              </w:rPr>
              <w:t>1</w:t>
            </w:r>
            <w:proofErr w:type="spellEnd"/>
            <w:r w:rsidRPr="009F043D">
              <w:t xml:space="preserve">, Peter </w:t>
            </w:r>
            <w:proofErr w:type="spellStart"/>
            <w:r w:rsidRPr="009F043D">
              <w:t>Comba</w:t>
            </w:r>
            <w:r w:rsidRPr="009F043D">
              <w:rPr>
                <w:vertAlign w:val="superscript"/>
              </w:rPr>
              <w:t>2</w:t>
            </w:r>
            <w:proofErr w:type="spellEnd"/>
            <w:r w:rsidRPr="009F043D">
              <w:t xml:space="preserve">, and Rüdiger </w:t>
            </w:r>
            <w:proofErr w:type="spellStart"/>
            <w:r w:rsidRPr="009F043D">
              <w:t>Klingeler</w:t>
            </w:r>
            <w:r w:rsidRPr="009F043D">
              <w:rPr>
                <w:vertAlign w:val="superscript"/>
              </w:rPr>
              <w:t>1</w:t>
            </w:r>
            <w:proofErr w:type="spellEnd"/>
          </w:p>
          <w:p w14:paraId="08EAACE3" w14:textId="6632CEDD" w:rsidR="009F043D" w:rsidRDefault="009F043D" w:rsidP="009F043D">
            <w:pPr>
              <w:rPr>
                <w:sz w:val="16"/>
                <w:szCs w:val="16"/>
              </w:rPr>
            </w:pPr>
            <w:r w:rsidRPr="009F043D">
              <w:rPr>
                <w:sz w:val="16"/>
                <w:szCs w:val="16"/>
              </w:rPr>
              <w:lastRenderedPageBreak/>
              <w:t> — </w:t>
            </w:r>
            <w:proofErr w:type="spellStart"/>
            <w:r w:rsidRPr="009F043D">
              <w:rPr>
                <w:sz w:val="16"/>
                <w:szCs w:val="16"/>
                <w:vertAlign w:val="superscript"/>
              </w:rPr>
              <w:t>1</w:t>
            </w:r>
            <w:r w:rsidRPr="009F043D">
              <w:rPr>
                <w:sz w:val="16"/>
                <w:szCs w:val="16"/>
              </w:rPr>
              <w:t>Kirchhoff</w:t>
            </w:r>
            <w:proofErr w:type="spellEnd"/>
            <w:r w:rsidRPr="009F043D">
              <w:rPr>
                <w:sz w:val="16"/>
                <w:szCs w:val="16"/>
              </w:rPr>
              <w:t xml:space="preserve"> Institut für Physik, Universität Heidelberg, Im Neuenheimer Feld 227, D-69120 Heidelberg, Germany — </w:t>
            </w:r>
            <w:proofErr w:type="spellStart"/>
            <w:r w:rsidRPr="009F043D">
              <w:rPr>
                <w:sz w:val="16"/>
                <w:szCs w:val="16"/>
                <w:vertAlign w:val="superscript"/>
              </w:rPr>
              <w:t>2</w:t>
            </w:r>
            <w:r w:rsidRPr="009F043D">
              <w:rPr>
                <w:sz w:val="16"/>
                <w:szCs w:val="16"/>
              </w:rPr>
              <w:t>Anorganisch</w:t>
            </w:r>
            <w:proofErr w:type="spellEnd"/>
            <w:r w:rsidRPr="009F043D">
              <w:rPr>
                <w:sz w:val="16"/>
                <w:szCs w:val="16"/>
              </w:rPr>
              <w:t xml:space="preserve"> Chemisches Institut, Universität Heidelberg, Im Neuenheimer Feld 270, D-69120 Heidelberg, Germany</w:t>
            </w:r>
          </w:p>
          <w:p w14:paraId="7416AAEA" w14:textId="77777777" w:rsidR="00847765" w:rsidRPr="009F043D" w:rsidRDefault="00847765" w:rsidP="009F043D">
            <w:pPr>
              <w:rPr>
                <w:sz w:val="16"/>
                <w:szCs w:val="16"/>
              </w:rPr>
            </w:pPr>
          </w:p>
          <w:p w14:paraId="2DF72C86" w14:textId="77777777" w:rsidR="009F043D" w:rsidRPr="009F043D" w:rsidRDefault="009F043D" w:rsidP="009F043D">
            <w:pPr>
              <w:rPr>
                <w:lang w:val="en-US"/>
              </w:rPr>
            </w:pPr>
            <w:r w:rsidRPr="009F043D">
              <w:rPr>
                <w:lang w:val="en-US"/>
              </w:rPr>
              <w:t xml:space="preserve">The recently found class of layered materials, </w:t>
            </w:r>
            <w:proofErr w:type="spellStart"/>
            <w:r w:rsidRPr="009F043D">
              <w:rPr>
                <w:lang w:val="en-US"/>
              </w:rPr>
              <w:t>MXenes</w:t>
            </w:r>
            <w:proofErr w:type="spellEnd"/>
            <w:r w:rsidRPr="009F043D">
              <w:rPr>
                <w:lang w:val="en-US"/>
              </w:rPr>
              <w:t xml:space="preserve">, has attracted attention as potential anode materials in lithium-ion batteries due to their high theoretical capacity as well as their long cycling stability. We report on the effect of a Mn-substitution in </w:t>
            </w:r>
            <w:proofErr w:type="spellStart"/>
            <w:r w:rsidRPr="009F043D">
              <w:rPr>
                <w:lang w:val="en-US"/>
              </w:rPr>
              <w:t>V</w:t>
            </w:r>
            <w:r w:rsidRPr="009F043D">
              <w:rPr>
                <w:vertAlign w:val="subscript"/>
                <w:lang w:val="en-US"/>
              </w:rPr>
              <w:t>2</w:t>
            </w:r>
            <w:r w:rsidRPr="009F043D">
              <w:rPr>
                <w:lang w:val="en-US"/>
              </w:rPr>
              <w:t>C</w:t>
            </w:r>
            <w:proofErr w:type="spellEnd"/>
            <w:r w:rsidRPr="009F043D">
              <w:rPr>
                <w:lang w:val="en-US"/>
              </w:rPr>
              <w:t xml:space="preserve"> </w:t>
            </w:r>
            <w:proofErr w:type="spellStart"/>
            <w:r w:rsidRPr="009F043D">
              <w:rPr>
                <w:lang w:val="en-US"/>
              </w:rPr>
              <w:t>MXenes</w:t>
            </w:r>
            <w:proofErr w:type="spellEnd"/>
            <w:r w:rsidRPr="009F043D">
              <w:rPr>
                <w:lang w:val="en-US"/>
              </w:rPr>
              <w:t xml:space="preserve">, i.e. </w:t>
            </w:r>
            <w:proofErr w:type="spellStart"/>
            <w:r w:rsidRPr="009F043D">
              <w:rPr>
                <w:lang w:val="en-US"/>
              </w:rPr>
              <w:t>VMnC</w:t>
            </w:r>
            <w:proofErr w:type="spellEnd"/>
            <w:r w:rsidRPr="009F043D">
              <w:rPr>
                <w:lang w:val="en-US"/>
              </w:rPr>
              <w:t xml:space="preserve">, </w:t>
            </w:r>
            <w:proofErr w:type="spellStart"/>
            <w:r w:rsidRPr="009F043D">
              <w:rPr>
                <w:lang w:val="en-US"/>
              </w:rPr>
              <w:t>synthesised</w:t>
            </w:r>
            <w:proofErr w:type="spellEnd"/>
            <w:r w:rsidRPr="009F043D">
              <w:rPr>
                <w:lang w:val="en-US"/>
              </w:rPr>
              <w:t xml:space="preserve"> by different etching processes. The distinct peaks in cyclic voltammetry measurements of </w:t>
            </w:r>
            <w:proofErr w:type="spellStart"/>
            <w:r w:rsidRPr="009F043D">
              <w:rPr>
                <w:lang w:val="en-US"/>
              </w:rPr>
              <w:t>VMnC</w:t>
            </w:r>
            <w:proofErr w:type="spellEnd"/>
            <w:r w:rsidRPr="009F043D">
              <w:rPr>
                <w:lang w:val="en-US"/>
              </w:rPr>
              <w:t xml:space="preserve"> suggest that Mn-ions offer extra redox-active centers yielding an increase of the specific capacity compared to </w:t>
            </w:r>
            <w:proofErr w:type="spellStart"/>
            <w:r w:rsidRPr="009F043D">
              <w:rPr>
                <w:lang w:val="en-US"/>
              </w:rPr>
              <w:t>V</w:t>
            </w:r>
            <w:r w:rsidRPr="009F043D">
              <w:rPr>
                <w:vertAlign w:val="subscript"/>
                <w:lang w:val="en-US"/>
              </w:rPr>
              <w:t>2</w:t>
            </w:r>
            <w:r w:rsidRPr="009F043D">
              <w:rPr>
                <w:lang w:val="en-US"/>
              </w:rPr>
              <w:t>C</w:t>
            </w:r>
            <w:proofErr w:type="spellEnd"/>
            <w:r w:rsidRPr="009F043D">
              <w:rPr>
                <w:lang w:val="en-US"/>
              </w:rPr>
              <w:t xml:space="preserve">. Galvanostatic cycling with potential limitation studies show significantly larger reversible capacities of 370 </w:t>
            </w:r>
            <w:proofErr w:type="spellStart"/>
            <w:r w:rsidRPr="009F043D">
              <w:rPr>
                <w:lang w:val="en-US"/>
              </w:rPr>
              <w:t>mAh</w:t>
            </w:r>
            <w:proofErr w:type="spellEnd"/>
            <w:r w:rsidRPr="009F043D">
              <w:rPr>
                <w:lang w:val="en-US"/>
              </w:rPr>
              <w:t xml:space="preserve">/g in </w:t>
            </w:r>
            <w:proofErr w:type="spellStart"/>
            <w:r w:rsidRPr="009F043D">
              <w:rPr>
                <w:lang w:val="en-US"/>
              </w:rPr>
              <w:t>VMnC</w:t>
            </w:r>
            <w:proofErr w:type="spellEnd"/>
            <w:r w:rsidRPr="009F043D">
              <w:rPr>
                <w:lang w:val="en-US"/>
              </w:rPr>
              <w:t xml:space="preserve">, at a current of 100 mA/g, which exceeds 256 </w:t>
            </w:r>
            <w:proofErr w:type="spellStart"/>
            <w:r w:rsidRPr="009F043D">
              <w:rPr>
                <w:lang w:val="en-US"/>
              </w:rPr>
              <w:t>mAh</w:t>
            </w:r>
            <w:proofErr w:type="spellEnd"/>
            <w:r w:rsidRPr="009F043D">
              <w:rPr>
                <w:lang w:val="en-US"/>
              </w:rPr>
              <w:t xml:space="preserve">/g observed in </w:t>
            </w:r>
            <w:proofErr w:type="spellStart"/>
            <w:r w:rsidRPr="009F043D">
              <w:rPr>
                <w:lang w:val="en-US"/>
              </w:rPr>
              <w:t>V</w:t>
            </w:r>
            <w:r w:rsidRPr="009F043D">
              <w:rPr>
                <w:vertAlign w:val="subscript"/>
                <w:lang w:val="en-US"/>
              </w:rPr>
              <w:t>2</w:t>
            </w:r>
            <w:r w:rsidRPr="009F043D">
              <w:rPr>
                <w:lang w:val="en-US"/>
              </w:rPr>
              <w:t>C</w:t>
            </w:r>
            <w:proofErr w:type="spellEnd"/>
            <w:r w:rsidRPr="009F043D">
              <w:rPr>
                <w:lang w:val="en-US"/>
              </w:rPr>
              <w:t xml:space="preserve"> by more than 40%. Additional investigations show the impact of different etching solvents applied during the synthesis process of the </w:t>
            </w:r>
            <w:proofErr w:type="spellStart"/>
            <w:r w:rsidRPr="009F043D">
              <w:rPr>
                <w:lang w:val="en-US"/>
              </w:rPr>
              <w:t>MXenes</w:t>
            </w:r>
            <w:proofErr w:type="spellEnd"/>
            <w:r w:rsidRPr="009F043D">
              <w:rPr>
                <w:lang w:val="en-US"/>
              </w:rPr>
              <w:t xml:space="preserve">. In contrast to the abovementioned performance of </w:t>
            </w:r>
            <w:proofErr w:type="spellStart"/>
            <w:r w:rsidRPr="009F043D">
              <w:rPr>
                <w:lang w:val="en-US"/>
              </w:rPr>
              <w:t>VMnC</w:t>
            </w:r>
            <w:proofErr w:type="spellEnd"/>
            <w:r w:rsidRPr="009F043D">
              <w:rPr>
                <w:lang w:val="en-US"/>
              </w:rPr>
              <w:t xml:space="preserve"> synthesized using </w:t>
            </w:r>
            <w:proofErr w:type="spellStart"/>
            <w:r w:rsidRPr="009F043D">
              <w:rPr>
                <w:lang w:val="en-US"/>
              </w:rPr>
              <w:t>HCl+LiF</w:t>
            </w:r>
            <w:proofErr w:type="spellEnd"/>
            <w:r w:rsidRPr="009F043D">
              <w:rPr>
                <w:lang w:val="en-US"/>
              </w:rPr>
              <w:t xml:space="preserve"> as an etching solvent, the specific capacity amounts to only 260 </w:t>
            </w:r>
            <w:proofErr w:type="spellStart"/>
            <w:r w:rsidRPr="009F043D">
              <w:rPr>
                <w:lang w:val="en-US"/>
              </w:rPr>
              <w:t>mAh</w:t>
            </w:r>
            <w:proofErr w:type="spellEnd"/>
            <w:r w:rsidRPr="009F043D">
              <w:rPr>
                <w:lang w:val="en-US"/>
              </w:rPr>
              <w:t xml:space="preserve">/g when using </w:t>
            </w:r>
            <w:proofErr w:type="spellStart"/>
            <w:r w:rsidRPr="009F043D">
              <w:rPr>
                <w:lang w:val="en-US"/>
              </w:rPr>
              <w:t>HCl+NaF</w:t>
            </w:r>
            <w:proofErr w:type="spellEnd"/>
            <w:r w:rsidRPr="009F043D">
              <w:rPr>
                <w:lang w:val="en-US"/>
              </w:rPr>
              <w:t xml:space="preserve">. We discuss this result with respect to the interlayer distances and sample morphology. Overall, Mn-substitution strongly affects and improves the electrochemical performance of </w:t>
            </w:r>
            <w:proofErr w:type="spellStart"/>
            <w:r w:rsidRPr="009F043D">
              <w:rPr>
                <w:lang w:val="en-US"/>
              </w:rPr>
              <w:t>V</w:t>
            </w:r>
            <w:r w:rsidRPr="009F043D">
              <w:rPr>
                <w:vertAlign w:val="subscript"/>
                <w:lang w:val="en-US"/>
              </w:rPr>
              <w:t>2</w:t>
            </w:r>
            <w:r w:rsidRPr="009F043D">
              <w:rPr>
                <w:lang w:val="en-US"/>
              </w:rPr>
              <w:t>C</w:t>
            </w:r>
            <w:proofErr w:type="spellEnd"/>
            <w:r w:rsidRPr="009F043D">
              <w:rPr>
                <w:lang w:val="en-US"/>
              </w:rPr>
              <w:t xml:space="preserve"> </w:t>
            </w:r>
            <w:proofErr w:type="spellStart"/>
            <w:r w:rsidRPr="009F043D">
              <w:rPr>
                <w:lang w:val="en-US"/>
              </w:rPr>
              <w:t>MXenes</w:t>
            </w:r>
            <w:proofErr w:type="spellEnd"/>
            <w:r w:rsidRPr="009F043D">
              <w:rPr>
                <w:lang w:val="en-US"/>
              </w:rPr>
              <w:t>.</w:t>
            </w:r>
          </w:p>
        </w:tc>
      </w:tr>
      <w:tr w:rsidR="009F043D" w:rsidRPr="003C1CAD" w14:paraId="78F23BE4" w14:textId="77777777" w:rsidTr="009F043D">
        <w:trPr>
          <w:tblCellSpacing w:w="15" w:type="dxa"/>
        </w:trPr>
        <w:tc>
          <w:tcPr>
            <w:tcW w:w="0" w:type="auto"/>
            <w:tcMar>
              <w:top w:w="96" w:type="dxa"/>
              <w:left w:w="0" w:type="dxa"/>
              <w:bottom w:w="0" w:type="dxa"/>
              <w:right w:w="360" w:type="dxa"/>
            </w:tcMar>
            <w:hideMark/>
          </w:tcPr>
          <w:p w14:paraId="3ED94EEC" w14:textId="33DEBAB7" w:rsidR="009F043D" w:rsidRPr="009F043D" w:rsidRDefault="009F043D" w:rsidP="009F043D">
            <w:r w:rsidRPr="009F043D">
              <w:rPr>
                <w:noProof/>
              </w:rPr>
              <w:lastRenderedPageBreak/>
              <w:drawing>
                <wp:inline distT="0" distB="0" distL="0" distR="0" wp14:anchorId="3839523F" wp14:editId="3AA70104">
                  <wp:extent cx="152400" cy="152400"/>
                  <wp:effectExtent l="0" t="0" r="0" b="0"/>
                  <wp:docPr id="387473429" name="Grafik 2" descr="Ein Bild, das Kreis, Symbol, Logo, Design enthält.&#10;&#10;Automatisch generierte Beschreibu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73429" name="Grafik 2" descr="Ein Bild, das Kreis, Symbol, Logo, Design enthält.&#10;&#10;Automatisch generierte Beschreibung">
                            <a:hlinkClick r:id="rId36"/>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noWrap/>
            <w:tcMar>
              <w:top w:w="96" w:type="dxa"/>
              <w:left w:w="0" w:type="dxa"/>
              <w:bottom w:w="0" w:type="dxa"/>
              <w:right w:w="360" w:type="dxa"/>
            </w:tcMar>
            <w:hideMark/>
          </w:tcPr>
          <w:p w14:paraId="31B58362" w14:textId="77777777" w:rsidR="009F043D" w:rsidRPr="009F043D" w:rsidRDefault="009F043D" w:rsidP="009F043D">
            <w:r w:rsidRPr="009F043D">
              <w:t>11:00</w:t>
            </w:r>
          </w:p>
        </w:tc>
        <w:tc>
          <w:tcPr>
            <w:tcW w:w="0" w:type="auto"/>
            <w:noWrap/>
            <w:tcMar>
              <w:top w:w="96" w:type="dxa"/>
              <w:left w:w="0" w:type="dxa"/>
              <w:bottom w:w="0" w:type="dxa"/>
              <w:right w:w="360" w:type="dxa"/>
            </w:tcMar>
            <w:hideMark/>
          </w:tcPr>
          <w:p w14:paraId="1B7E23AA" w14:textId="77777777" w:rsidR="009F043D" w:rsidRPr="009F043D" w:rsidRDefault="009F043D" w:rsidP="009F043D">
            <w:r w:rsidRPr="009F043D">
              <w:t>AKE 2.5</w:t>
            </w:r>
          </w:p>
        </w:tc>
        <w:tc>
          <w:tcPr>
            <w:tcW w:w="5000" w:type="pct"/>
            <w:tcMar>
              <w:top w:w="96" w:type="dxa"/>
              <w:left w:w="0" w:type="dxa"/>
              <w:bottom w:w="0" w:type="dxa"/>
              <w:right w:w="360" w:type="dxa"/>
            </w:tcMar>
            <w:hideMark/>
          </w:tcPr>
          <w:p w14:paraId="512AFB29" w14:textId="77777777" w:rsidR="009F043D" w:rsidRPr="009F043D" w:rsidRDefault="00000000" w:rsidP="009F043D">
            <w:pPr>
              <w:rPr>
                <w:lang w:val="en-US"/>
              </w:rPr>
            </w:pPr>
            <w:hyperlink r:id="rId37" w:history="1">
              <w:r w:rsidR="009F043D" w:rsidRPr="009F043D">
                <w:rPr>
                  <w:rStyle w:val="Hyperlink"/>
                  <w:lang w:val="en-US"/>
                </w:rPr>
                <w:t xml:space="preserve">Elucidating the electrochemical reaction mechanism of lithium-rich </w:t>
              </w:r>
              <w:proofErr w:type="spellStart"/>
              <w:r w:rsidR="009F043D" w:rsidRPr="009F043D">
                <w:rPr>
                  <w:rStyle w:val="Hyperlink"/>
                  <w:lang w:val="en-US"/>
                </w:rPr>
                <w:t>antiperovskite</w:t>
              </w:r>
              <w:proofErr w:type="spellEnd"/>
              <w:r w:rsidR="009F043D" w:rsidRPr="009F043D">
                <w:rPr>
                  <w:rStyle w:val="Hyperlink"/>
                  <w:lang w:val="en-US"/>
                </w:rPr>
                <w:t xml:space="preserve"> cathodes for lithium-ion batteries as exemplified by (</w:t>
              </w:r>
              <w:proofErr w:type="spellStart"/>
              <w:r w:rsidR="009F043D" w:rsidRPr="009F043D">
                <w:rPr>
                  <w:rStyle w:val="Hyperlink"/>
                  <w:lang w:val="en-US"/>
                </w:rPr>
                <w:t>Li</w:t>
              </w:r>
              <w:r w:rsidR="009F043D" w:rsidRPr="009F043D">
                <w:rPr>
                  <w:rStyle w:val="Hyperlink"/>
                  <w:vertAlign w:val="subscript"/>
                  <w:lang w:val="en-US"/>
                </w:rPr>
                <w:t>2</w:t>
              </w:r>
              <w:r w:rsidR="009F043D" w:rsidRPr="009F043D">
                <w:rPr>
                  <w:rStyle w:val="Hyperlink"/>
                  <w:lang w:val="en-US"/>
                </w:rPr>
                <w:t>Fe</w:t>
              </w:r>
              <w:proofErr w:type="spellEnd"/>
              <w:r w:rsidR="009F043D" w:rsidRPr="009F043D">
                <w:rPr>
                  <w:rStyle w:val="Hyperlink"/>
                  <w:lang w:val="en-US"/>
                </w:rPr>
                <w:t>)</w:t>
              </w:r>
              <w:proofErr w:type="spellStart"/>
              <w:r w:rsidR="009F043D" w:rsidRPr="009F043D">
                <w:rPr>
                  <w:rStyle w:val="Hyperlink"/>
                  <w:lang w:val="en-US"/>
                </w:rPr>
                <w:t>SeO</w:t>
              </w:r>
              <w:proofErr w:type="spellEnd"/>
            </w:hyperlink>
            <w:r w:rsidR="009F043D" w:rsidRPr="009F043D">
              <w:rPr>
                <w:lang w:val="en-US"/>
              </w:rPr>
              <w:t> — •Lennart Singer, </w:t>
            </w:r>
            <w:proofErr w:type="spellStart"/>
            <w:r w:rsidR="009F043D" w:rsidRPr="009F043D">
              <w:rPr>
                <w:lang w:val="en-US"/>
              </w:rPr>
              <w:t>M.A.A</w:t>
            </w:r>
            <w:proofErr w:type="spellEnd"/>
            <w:r w:rsidR="009F043D" w:rsidRPr="009F043D">
              <w:rPr>
                <w:lang w:val="en-US"/>
              </w:rPr>
              <w:t xml:space="preserve">. Mohamed, Henrik Hahn, Ignacio G. Gonzalez-Martinez, Karolina </w:t>
            </w:r>
            <w:proofErr w:type="spellStart"/>
            <w:r w:rsidR="009F043D" w:rsidRPr="009F043D">
              <w:rPr>
                <w:lang w:val="en-US"/>
              </w:rPr>
              <w:t>Wenelska</w:t>
            </w:r>
            <w:proofErr w:type="spellEnd"/>
            <w:r w:rsidR="009F043D" w:rsidRPr="009F043D">
              <w:rPr>
                <w:lang w:val="en-US"/>
              </w:rPr>
              <w:t xml:space="preserve">, Ewa </w:t>
            </w:r>
            <w:proofErr w:type="spellStart"/>
            <w:r w:rsidR="009F043D" w:rsidRPr="009F043D">
              <w:rPr>
                <w:lang w:val="en-US"/>
              </w:rPr>
              <w:t>Mijowska</w:t>
            </w:r>
            <w:proofErr w:type="spellEnd"/>
            <w:r w:rsidR="009F043D" w:rsidRPr="009F043D">
              <w:rPr>
                <w:lang w:val="en-US"/>
              </w:rPr>
              <w:t xml:space="preserve">, Bernd Büchner, Silke Hampel, Nico </w:t>
            </w:r>
            <w:proofErr w:type="spellStart"/>
            <w:r w:rsidR="009F043D" w:rsidRPr="009F043D">
              <w:rPr>
                <w:lang w:val="en-US"/>
              </w:rPr>
              <w:t>Gräßler</w:t>
            </w:r>
            <w:proofErr w:type="spellEnd"/>
            <w:r w:rsidR="009F043D" w:rsidRPr="009F043D">
              <w:rPr>
                <w:lang w:val="en-US"/>
              </w:rPr>
              <w:t xml:space="preserve">, and Rüdiger </w:t>
            </w:r>
            <w:proofErr w:type="spellStart"/>
            <w:r w:rsidR="009F043D" w:rsidRPr="009F043D">
              <w:rPr>
                <w:lang w:val="en-US"/>
              </w:rPr>
              <w:t>Klingeler</w:t>
            </w:r>
            <w:proofErr w:type="spellEnd"/>
          </w:p>
        </w:tc>
      </w:tr>
      <w:tr w:rsidR="009F043D" w:rsidRPr="003C1CAD" w14:paraId="3584B692" w14:textId="77777777" w:rsidTr="009F043D">
        <w:trPr>
          <w:tblCellSpacing w:w="15" w:type="dxa"/>
        </w:trPr>
        <w:tc>
          <w:tcPr>
            <w:tcW w:w="0" w:type="auto"/>
            <w:tcMar>
              <w:top w:w="96" w:type="dxa"/>
              <w:left w:w="0" w:type="dxa"/>
              <w:bottom w:w="0" w:type="dxa"/>
              <w:right w:w="360" w:type="dxa"/>
            </w:tcMar>
            <w:hideMark/>
          </w:tcPr>
          <w:p w14:paraId="7FF09E86" w14:textId="77777777" w:rsidR="009F043D" w:rsidRPr="009F043D" w:rsidRDefault="009F043D" w:rsidP="009F043D">
            <w:pPr>
              <w:rPr>
                <w:lang w:val="en-US"/>
              </w:rPr>
            </w:pPr>
          </w:p>
        </w:tc>
        <w:tc>
          <w:tcPr>
            <w:tcW w:w="0" w:type="auto"/>
            <w:gridSpan w:val="3"/>
            <w:tcMar>
              <w:top w:w="96" w:type="dxa"/>
              <w:left w:w="0" w:type="dxa"/>
              <w:bottom w:w="0" w:type="dxa"/>
              <w:right w:w="360" w:type="dxa"/>
            </w:tcMar>
            <w:hideMark/>
          </w:tcPr>
          <w:p w14:paraId="6CC7B263" w14:textId="77777777" w:rsidR="00391592" w:rsidRDefault="009F043D" w:rsidP="009F043D">
            <w:pPr>
              <w:rPr>
                <w:lang w:val="en-US"/>
              </w:rPr>
            </w:pPr>
            <w:r w:rsidRPr="009F043D">
              <w:rPr>
                <w:b/>
                <w:bCs/>
                <w:lang w:val="en-US"/>
              </w:rPr>
              <w:t xml:space="preserve">Elucidating the electrochemical reaction mechanism of lithium-rich </w:t>
            </w:r>
            <w:proofErr w:type="spellStart"/>
            <w:r w:rsidRPr="009F043D">
              <w:rPr>
                <w:b/>
                <w:bCs/>
                <w:lang w:val="en-US"/>
              </w:rPr>
              <w:t>antiperovskite</w:t>
            </w:r>
            <w:proofErr w:type="spellEnd"/>
            <w:r w:rsidRPr="009F043D">
              <w:rPr>
                <w:b/>
                <w:bCs/>
                <w:lang w:val="en-US"/>
              </w:rPr>
              <w:t xml:space="preserve"> cathodes for lithium-ion batteries as exemplified by (</w:t>
            </w:r>
            <w:proofErr w:type="spellStart"/>
            <w:r w:rsidRPr="009F043D">
              <w:rPr>
                <w:b/>
                <w:bCs/>
                <w:lang w:val="en-US"/>
              </w:rPr>
              <w:t>Li</w:t>
            </w:r>
            <w:r w:rsidRPr="009F043D">
              <w:rPr>
                <w:vertAlign w:val="subscript"/>
                <w:lang w:val="en-US"/>
              </w:rPr>
              <w:t>2</w:t>
            </w:r>
            <w:r w:rsidRPr="009F043D">
              <w:rPr>
                <w:b/>
                <w:bCs/>
                <w:lang w:val="en-US"/>
              </w:rPr>
              <w:t>Fe</w:t>
            </w:r>
            <w:proofErr w:type="spellEnd"/>
            <w:r w:rsidRPr="009F043D">
              <w:rPr>
                <w:b/>
                <w:bCs/>
                <w:lang w:val="en-US"/>
              </w:rPr>
              <w:t>)</w:t>
            </w:r>
            <w:proofErr w:type="spellStart"/>
            <w:r w:rsidRPr="009F043D">
              <w:rPr>
                <w:b/>
                <w:bCs/>
                <w:lang w:val="en-US"/>
              </w:rPr>
              <w:t>SeO</w:t>
            </w:r>
            <w:proofErr w:type="spellEnd"/>
            <w:r w:rsidRPr="009F043D">
              <w:rPr>
                <w:lang w:val="en-US"/>
              </w:rPr>
              <w:t xml:space="preserve"> — •Lennart </w:t>
            </w:r>
            <w:proofErr w:type="spellStart"/>
            <w:r w:rsidRPr="009F043D">
              <w:rPr>
                <w:lang w:val="en-US"/>
              </w:rPr>
              <w:t>Singer</w:t>
            </w:r>
            <w:r w:rsidRPr="009F043D">
              <w:rPr>
                <w:vertAlign w:val="superscript"/>
                <w:lang w:val="en-US"/>
              </w:rPr>
              <w:t>1</w:t>
            </w:r>
            <w:proofErr w:type="spellEnd"/>
            <w:r w:rsidRPr="009F043D">
              <w:rPr>
                <w:lang w:val="en-US"/>
              </w:rPr>
              <w:t>, </w:t>
            </w:r>
            <w:proofErr w:type="spellStart"/>
            <w:r w:rsidRPr="009F043D">
              <w:rPr>
                <w:lang w:val="en-US"/>
              </w:rPr>
              <w:t>M.A.A</w:t>
            </w:r>
            <w:proofErr w:type="spellEnd"/>
            <w:r w:rsidRPr="009F043D">
              <w:rPr>
                <w:lang w:val="en-US"/>
              </w:rPr>
              <w:t xml:space="preserve">. </w:t>
            </w:r>
            <w:proofErr w:type="spellStart"/>
            <w:r w:rsidRPr="009F043D">
              <w:rPr>
                <w:lang w:val="en-US"/>
              </w:rPr>
              <w:t>Mohamed</w:t>
            </w:r>
            <w:r w:rsidRPr="009F043D">
              <w:rPr>
                <w:vertAlign w:val="superscript"/>
                <w:lang w:val="en-US"/>
              </w:rPr>
              <w:t>2,4</w:t>
            </w:r>
            <w:proofErr w:type="spellEnd"/>
            <w:r w:rsidRPr="009F043D">
              <w:rPr>
                <w:lang w:val="en-US"/>
              </w:rPr>
              <w:t xml:space="preserve">, Henrik </w:t>
            </w:r>
            <w:proofErr w:type="spellStart"/>
            <w:r w:rsidRPr="009F043D">
              <w:rPr>
                <w:lang w:val="en-US"/>
              </w:rPr>
              <w:t>Hahn</w:t>
            </w:r>
            <w:r w:rsidRPr="009F043D">
              <w:rPr>
                <w:vertAlign w:val="superscript"/>
                <w:lang w:val="en-US"/>
              </w:rPr>
              <w:t>1</w:t>
            </w:r>
            <w:proofErr w:type="spellEnd"/>
            <w:r w:rsidRPr="009F043D">
              <w:rPr>
                <w:lang w:val="en-US"/>
              </w:rPr>
              <w:t>, Ignacio G. Gonzalez-</w:t>
            </w:r>
            <w:proofErr w:type="spellStart"/>
            <w:r w:rsidRPr="009F043D">
              <w:rPr>
                <w:lang w:val="en-US"/>
              </w:rPr>
              <w:t>Martinez</w:t>
            </w:r>
            <w:r w:rsidRPr="009F043D">
              <w:rPr>
                <w:vertAlign w:val="superscript"/>
                <w:lang w:val="en-US"/>
              </w:rPr>
              <w:t>2</w:t>
            </w:r>
            <w:proofErr w:type="spellEnd"/>
            <w:r w:rsidRPr="009F043D">
              <w:rPr>
                <w:lang w:val="en-US"/>
              </w:rPr>
              <w:t xml:space="preserve">, Karolina </w:t>
            </w:r>
            <w:proofErr w:type="spellStart"/>
            <w:r w:rsidRPr="009F043D">
              <w:rPr>
                <w:lang w:val="en-US"/>
              </w:rPr>
              <w:t>Wenelska</w:t>
            </w:r>
            <w:r w:rsidRPr="009F043D">
              <w:rPr>
                <w:vertAlign w:val="superscript"/>
                <w:lang w:val="en-US"/>
              </w:rPr>
              <w:t>3</w:t>
            </w:r>
            <w:proofErr w:type="spellEnd"/>
            <w:r w:rsidRPr="009F043D">
              <w:rPr>
                <w:lang w:val="en-US"/>
              </w:rPr>
              <w:t xml:space="preserve">, Ewa </w:t>
            </w:r>
            <w:proofErr w:type="spellStart"/>
            <w:r w:rsidRPr="009F043D">
              <w:rPr>
                <w:lang w:val="en-US"/>
              </w:rPr>
              <w:t>Mijowska</w:t>
            </w:r>
            <w:r w:rsidRPr="009F043D">
              <w:rPr>
                <w:vertAlign w:val="superscript"/>
                <w:lang w:val="en-US"/>
              </w:rPr>
              <w:t>3</w:t>
            </w:r>
            <w:proofErr w:type="spellEnd"/>
            <w:r w:rsidRPr="009F043D">
              <w:rPr>
                <w:lang w:val="en-US"/>
              </w:rPr>
              <w:t xml:space="preserve">, Bernd </w:t>
            </w:r>
            <w:proofErr w:type="spellStart"/>
            <w:r w:rsidRPr="009F043D">
              <w:rPr>
                <w:lang w:val="en-US"/>
              </w:rPr>
              <w:t>Büchner</w:t>
            </w:r>
            <w:r w:rsidRPr="009F043D">
              <w:rPr>
                <w:vertAlign w:val="superscript"/>
                <w:lang w:val="en-US"/>
              </w:rPr>
              <w:t>2</w:t>
            </w:r>
            <w:proofErr w:type="spellEnd"/>
            <w:r w:rsidRPr="009F043D">
              <w:rPr>
                <w:lang w:val="en-US"/>
              </w:rPr>
              <w:t xml:space="preserve">, Silke </w:t>
            </w:r>
            <w:proofErr w:type="spellStart"/>
            <w:r w:rsidRPr="009F043D">
              <w:rPr>
                <w:lang w:val="en-US"/>
              </w:rPr>
              <w:t>Hampel</w:t>
            </w:r>
            <w:r w:rsidRPr="009F043D">
              <w:rPr>
                <w:vertAlign w:val="superscript"/>
                <w:lang w:val="en-US"/>
              </w:rPr>
              <w:t>2</w:t>
            </w:r>
            <w:proofErr w:type="spellEnd"/>
            <w:r w:rsidRPr="009F043D">
              <w:rPr>
                <w:lang w:val="en-US"/>
              </w:rPr>
              <w:t xml:space="preserve">, Nico </w:t>
            </w:r>
            <w:proofErr w:type="spellStart"/>
            <w:r w:rsidRPr="009F043D">
              <w:rPr>
                <w:lang w:val="en-US"/>
              </w:rPr>
              <w:t>Gräßler</w:t>
            </w:r>
            <w:r w:rsidRPr="009F043D">
              <w:rPr>
                <w:vertAlign w:val="superscript"/>
                <w:lang w:val="en-US"/>
              </w:rPr>
              <w:t>2</w:t>
            </w:r>
            <w:proofErr w:type="spellEnd"/>
            <w:r w:rsidRPr="009F043D">
              <w:rPr>
                <w:lang w:val="en-US"/>
              </w:rPr>
              <w:t xml:space="preserve">, and Rüdiger </w:t>
            </w:r>
            <w:proofErr w:type="spellStart"/>
            <w:r w:rsidRPr="009F043D">
              <w:rPr>
                <w:lang w:val="en-US"/>
              </w:rPr>
              <w:t>Klingeler</w:t>
            </w:r>
            <w:r w:rsidRPr="009F043D">
              <w:rPr>
                <w:vertAlign w:val="superscript"/>
                <w:lang w:val="en-US"/>
              </w:rPr>
              <w:t>1</w:t>
            </w:r>
            <w:proofErr w:type="spellEnd"/>
            <w:r w:rsidRPr="009F043D">
              <w:rPr>
                <w:lang w:val="en-US"/>
              </w:rPr>
              <w:t> —</w:t>
            </w:r>
          </w:p>
          <w:p w14:paraId="1B5844A0" w14:textId="77777777" w:rsidR="009957FF" w:rsidRDefault="009957FF" w:rsidP="009F043D">
            <w:pPr>
              <w:rPr>
                <w:lang w:val="en-US"/>
              </w:rPr>
            </w:pPr>
          </w:p>
          <w:p w14:paraId="66007B76" w14:textId="414E1D52" w:rsidR="009F043D" w:rsidRDefault="009F043D" w:rsidP="009F043D">
            <w:pPr>
              <w:rPr>
                <w:sz w:val="16"/>
                <w:szCs w:val="16"/>
                <w:lang w:val="en-US"/>
              </w:rPr>
            </w:pPr>
            <w:r w:rsidRPr="009F043D">
              <w:rPr>
                <w:sz w:val="16"/>
                <w:szCs w:val="16"/>
                <w:lang w:val="en-US"/>
              </w:rPr>
              <w:t> </w:t>
            </w:r>
            <w:proofErr w:type="spellStart"/>
            <w:r w:rsidRPr="009F043D">
              <w:rPr>
                <w:sz w:val="16"/>
                <w:szCs w:val="16"/>
                <w:vertAlign w:val="superscript"/>
                <w:lang w:val="en-US"/>
              </w:rPr>
              <w:t>1</w:t>
            </w:r>
            <w:r w:rsidRPr="009F043D">
              <w:rPr>
                <w:sz w:val="16"/>
                <w:szCs w:val="16"/>
                <w:lang w:val="en-US"/>
              </w:rPr>
              <w:t>Kirchhoff</w:t>
            </w:r>
            <w:proofErr w:type="spellEnd"/>
            <w:r w:rsidRPr="009F043D">
              <w:rPr>
                <w:sz w:val="16"/>
                <w:szCs w:val="16"/>
                <w:lang w:val="en-US"/>
              </w:rPr>
              <w:t xml:space="preserve"> Institute for Physics, 69120 Heidelberg, Germany — </w:t>
            </w:r>
            <w:proofErr w:type="spellStart"/>
            <w:r w:rsidRPr="009F043D">
              <w:rPr>
                <w:sz w:val="16"/>
                <w:szCs w:val="16"/>
                <w:vertAlign w:val="superscript"/>
                <w:lang w:val="en-US"/>
              </w:rPr>
              <w:t>2</w:t>
            </w:r>
            <w:r w:rsidRPr="009F043D">
              <w:rPr>
                <w:sz w:val="16"/>
                <w:szCs w:val="16"/>
                <w:lang w:val="en-US"/>
              </w:rPr>
              <w:t>Leibniz</w:t>
            </w:r>
            <w:proofErr w:type="spellEnd"/>
            <w:r w:rsidRPr="009F043D">
              <w:rPr>
                <w:sz w:val="16"/>
                <w:szCs w:val="16"/>
                <w:lang w:val="en-US"/>
              </w:rPr>
              <w:t xml:space="preserve"> Institute for Solid State and Materials Research Dresden </w:t>
            </w:r>
            <w:proofErr w:type="spellStart"/>
            <w:r w:rsidRPr="009F043D">
              <w:rPr>
                <w:sz w:val="16"/>
                <w:szCs w:val="16"/>
                <w:lang w:val="en-US"/>
              </w:rPr>
              <w:t>e.V.</w:t>
            </w:r>
            <w:proofErr w:type="spellEnd"/>
            <w:r w:rsidRPr="009F043D">
              <w:rPr>
                <w:sz w:val="16"/>
                <w:szCs w:val="16"/>
                <w:lang w:val="en-US"/>
              </w:rPr>
              <w:t>, 01069 Dresden, Germany — </w:t>
            </w:r>
            <w:proofErr w:type="spellStart"/>
            <w:r w:rsidRPr="009F043D">
              <w:rPr>
                <w:sz w:val="16"/>
                <w:szCs w:val="16"/>
                <w:vertAlign w:val="superscript"/>
                <w:lang w:val="en-US"/>
              </w:rPr>
              <w:t>3</w:t>
            </w:r>
            <w:r w:rsidRPr="009F043D">
              <w:rPr>
                <w:sz w:val="16"/>
                <w:szCs w:val="16"/>
                <w:lang w:val="en-US"/>
              </w:rPr>
              <w:t>Nanomaterials</w:t>
            </w:r>
            <w:proofErr w:type="spellEnd"/>
            <w:r w:rsidRPr="009F043D">
              <w:rPr>
                <w:sz w:val="16"/>
                <w:szCs w:val="16"/>
                <w:lang w:val="en-US"/>
              </w:rPr>
              <w:t xml:space="preserve"> </w:t>
            </w:r>
            <w:proofErr w:type="spellStart"/>
            <w:r w:rsidRPr="009F043D">
              <w:rPr>
                <w:sz w:val="16"/>
                <w:szCs w:val="16"/>
                <w:lang w:val="en-US"/>
              </w:rPr>
              <w:t>Physicochemistry</w:t>
            </w:r>
            <w:proofErr w:type="spellEnd"/>
            <w:r w:rsidRPr="009F043D">
              <w:rPr>
                <w:sz w:val="16"/>
                <w:szCs w:val="16"/>
                <w:lang w:val="en-US"/>
              </w:rPr>
              <w:t xml:space="preserve"> Department, Faculty of Chemical Technology and Engineering, West Pomeranian University of Technology, 71-065 Szczecin, Poland — </w:t>
            </w:r>
            <w:proofErr w:type="spellStart"/>
            <w:r w:rsidRPr="009F043D">
              <w:rPr>
                <w:sz w:val="16"/>
                <w:szCs w:val="16"/>
                <w:vertAlign w:val="superscript"/>
                <w:lang w:val="en-US"/>
              </w:rPr>
              <w:t>4</w:t>
            </w:r>
            <w:r w:rsidRPr="009F043D">
              <w:rPr>
                <w:sz w:val="16"/>
                <w:szCs w:val="16"/>
                <w:lang w:val="en-US"/>
              </w:rPr>
              <w:t>Department</w:t>
            </w:r>
            <w:proofErr w:type="spellEnd"/>
            <w:r w:rsidRPr="009F043D">
              <w:rPr>
                <w:sz w:val="16"/>
                <w:szCs w:val="16"/>
                <w:lang w:val="en-US"/>
              </w:rPr>
              <w:t xml:space="preserve"> of Physics, Faculty of Science, Sohag University, 82524 Sohag, Egypt</w:t>
            </w:r>
          </w:p>
          <w:p w14:paraId="33C6A1E0" w14:textId="77777777" w:rsidR="00391592" w:rsidRPr="009F043D" w:rsidRDefault="00391592" w:rsidP="009F043D">
            <w:pPr>
              <w:rPr>
                <w:sz w:val="16"/>
                <w:szCs w:val="16"/>
                <w:lang w:val="en-US"/>
              </w:rPr>
            </w:pPr>
          </w:p>
          <w:p w14:paraId="3B8D445F" w14:textId="77777777" w:rsidR="009F043D" w:rsidRPr="009F043D" w:rsidRDefault="009F043D" w:rsidP="009F043D">
            <w:pPr>
              <w:rPr>
                <w:lang w:val="en-US"/>
              </w:rPr>
            </w:pPr>
            <w:r w:rsidRPr="009F043D">
              <w:rPr>
                <w:lang w:val="en-US"/>
              </w:rPr>
              <w:t xml:space="preserve">We report in the context of lithium-rich </w:t>
            </w:r>
            <w:proofErr w:type="spellStart"/>
            <w:r w:rsidRPr="009F043D">
              <w:rPr>
                <w:lang w:val="en-US"/>
              </w:rPr>
              <w:t>antiperovskite</w:t>
            </w:r>
            <w:proofErr w:type="spellEnd"/>
            <w:r w:rsidRPr="009F043D">
              <w:rPr>
                <w:lang w:val="en-US"/>
              </w:rPr>
              <w:t xml:space="preserve"> cathode materials outstanding electrochemical properties of (</w:t>
            </w:r>
            <w:proofErr w:type="spellStart"/>
            <w:r w:rsidRPr="009F043D">
              <w:rPr>
                <w:lang w:val="en-US"/>
              </w:rPr>
              <w:t>Li</w:t>
            </w:r>
            <w:r w:rsidRPr="009F043D">
              <w:rPr>
                <w:vertAlign w:val="subscript"/>
                <w:lang w:val="en-US"/>
              </w:rPr>
              <w:t>2</w:t>
            </w:r>
            <w:r w:rsidRPr="009F043D">
              <w:rPr>
                <w:lang w:val="en-US"/>
              </w:rPr>
              <w:t>Fe</w:t>
            </w:r>
            <w:proofErr w:type="spellEnd"/>
            <w:r w:rsidRPr="009F043D">
              <w:rPr>
                <w:lang w:val="en-US"/>
              </w:rPr>
              <w:t>)</w:t>
            </w:r>
            <w:proofErr w:type="spellStart"/>
            <w:r w:rsidRPr="009F043D">
              <w:rPr>
                <w:lang w:val="en-US"/>
              </w:rPr>
              <w:t>SeO</w:t>
            </w:r>
            <w:proofErr w:type="spellEnd"/>
            <w:r w:rsidRPr="009F043D">
              <w:rPr>
                <w:lang w:val="en-US"/>
              </w:rPr>
              <w:t xml:space="preserve">, which for the first time was synthesized via direct ball-milling. The unique structured material displays </w:t>
            </w:r>
            <w:proofErr w:type="gramStart"/>
            <w:r w:rsidRPr="009F043D">
              <w:rPr>
                <w:lang w:val="en-US"/>
              </w:rPr>
              <w:t>a</w:t>
            </w:r>
            <w:proofErr w:type="gramEnd"/>
            <w:r w:rsidRPr="009F043D">
              <w:rPr>
                <w:lang w:val="en-US"/>
              </w:rPr>
              <w:t xml:space="preserve"> electrochemical cycling performance of 250 </w:t>
            </w:r>
            <w:proofErr w:type="spellStart"/>
            <w:r w:rsidRPr="009F043D">
              <w:rPr>
                <w:lang w:val="en-US"/>
              </w:rPr>
              <w:t>mAh</w:t>
            </w:r>
            <w:proofErr w:type="spellEnd"/>
            <w:r w:rsidRPr="009F043D">
              <w:rPr>
                <w:lang w:val="en-US"/>
              </w:rPr>
              <w:t xml:space="preserve"> g</w:t>
            </w:r>
            <w:r w:rsidRPr="009F043D">
              <w:rPr>
                <w:vertAlign w:val="superscript"/>
                <w:lang w:val="en-US"/>
              </w:rPr>
              <w:t>−1</w:t>
            </w:r>
            <w:r w:rsidRPr="009F043D">
              <w:rPr>
                <w:lang w:val="en-US"/>
              </w:rPr>
              <w:t> at 0.1 C when used as a cathode in lithium-ion batteries. Comprehensive electrochemical analysis combined with detailed transmission electron microscopy studies reveal that, above 2.5 V, the multi electron storage mechanism involves conversion of (</w:t>
            </w:r>
            <w:proofErr w:type="spellStart"/>
            <w:r w:rsidRPr="009F043D">
              <w:rPr>
                <w:lang w:val="en-US"/>
              </w:rPr>
              <w:t>Li</w:t>
            </w:r>
            <w:r w:rsidRPr="009F043D">
              <w:rPr>
                <w:vertAlign w:val="subscript"/>
                <w:lang w:val="en-US"/>
              </w:rPr>
              <w:t>2</w:t>
            </w:r>
            <w:r w:rsidRPr="009F043D">
              <w:rPr>
                <w:lang w:val="en-US"/>
              </w:rPr>
              <w:t>Fe</w:t>
            </w:r>
            <w:proofErr w:type="spellEnd"/>
            <w:r w:rsidRPr="009F043D">
              <w:rPr>
                <w:lang w:val="en-US"/>
              </w:rPr>
              <w:t>)</w:t>
            </w:r>
            <w:proofErr w:type="spellStart"/>
            <w:r w:rsidRPr="009F043D">
              <w:rPr>
                <w:lang w:val="en-US"/>
              </w:rPr>
              <w:t>SeO</w:t>
            </w:r>
            <w:proofErr w:type="spellEnd"/>
            <w:r w:rsidRPr="009F043D">
              <w:rPr>
                <w:lang w:val="en-US"/>
              </w:rPr>
              <w:t xml:space="preserve"> to </w:t>
            </w:r>
            <w:proofErr w:type="spellStart"/>
            <w:r w:rsidRPr="009F043D">
              <w:rPr>
                <w:lang w:val="en-US"/>
              </w:rPr>
              <w:t>Fe</w:t>
            </w:r>
            <w:r w:rsidRPr="009F043D">
              <w:rPr>
                <w:vertAlign w:val="subscript"/>
                <w:lang w:val="en-US"/>
              </w:rPr>
              <w:t>1−</w:t>
            </w:r>
            <w:r w:rsidRPr="009F043D">
              <w:rPr>
                <w:i/>
                <w:iCs/>
                <w:vertAlign w:val="subscript"/>
                <w:lang w:val="en-US"/>
              </w:rPr>
              <w:t>x</w:t>
            </w:r>
            <w:r w:rsidRPr="009F043D">
              <w:rPr>
                <w:lang w:val="en-US"/>
              </w:rPr>
              <w:t>Se</w:t>
            </w:r>
            <w:r w:rsidRPr="009F043D">
              <w:rPr>
                <w:i/>
                <w:iCs/>
                <w:vertAlign w:val="subscript"/>
                <w:lang w:val="en-US"/>
              </w:rPr>
              <w:t>x</w:t>
            </w:r>
            <w:proofErr w:type="spellEnd"/>
            <w:r w:rsidRPr="009F043D">
              <w:rPr>
                <w:lang w:val="en-US"/>
              </w:rPr>
              <w:t xml:space="preserve">. Our results furthermore demonstrate the general relevance of our findings to the whole class of </w:t>
            </w:r>
            <w:proofErr w:type="spellStart"/>
            <w:r w:rsidRPr="009F043D">
              <w:rPr>
                <w:lang w:val="en-US"/>
              </w:rPr>
              <w:t>antiperovskite</w:t>
            </w:r>
            <w:proofErr w:type="spellEnd"/>
            <w:r w:rsidRPr="009F043D">
              <w:rPr>
                <w:lang w:val="en-US"/>
              </w:rPr>
              <w:t xml:space="preserve"> cathode materials and present a route to strongly enhance their cell performance by avoiding the degradation path deciphered by our studies.</w:t>
            </w:r>
          </w:p>
        </w:tc>
      </w:tr>
      <w:tr w:rsidR="009F043D" w:rsidRPr="003C1CAD" w14:paraId="279C6307" w14:textId="77777777" w:rsidTr="009F043D">
        <w:trPr>
          <w:tblCellSpacing w:w="15" w:type="dxa"/>
        </w:trPr>
        <w:tc>
          <w:tcPr>
            <w:tcW w:w="0" w:type="auto"/>
            <w:tcMar>
              <w:top w:w="96" w:type="dxa"/>
              <w:left w:w="0" w:type="dxa"/>
              <w:bottom w:w="0" w:type="dxa"/>
              <w:right w:w="360" w:type="dxa"/>
            </w:tcMar>
            <w:hideMark/>
          </w:tcPr>
          <w:p w14:paraId="3F5CD282" w14:textId="77777777" w:rsidR="009F043D" w:rsidRPr="009F043D" w:rsidRDefault="009F043D" w:rsidP="009F043D">
            <w:pPr>
              <w:rPr>
                <w:lang w:val="en-US"/>
              </w:rPr>
            </w:pPr>
            <w:r w:rsidRPr="009F043D">
              <w:rPr>
                <w:lang w:val="en-US"/>
              </w:rPr>
              <w:t> </w:t>
            </w:r>
          </w:p>
        </w:tc>
        <w:tc>
          <w:tcPr>
            <w:tcW w:w="0" w:type="auto"/>
            <w:noWrap/>
            <w:tcMar>
              <w:top w:w="96" w:type="dxa"/>
              <w:left w:w="0" w:type="dxa"/>
              <w:bottom w:w="0" w:type="dxa"/>
              <w:right w:w="360" w:type="dxa"/>
            </w:tcMar>
            <w:hideMark/>
          </w:tcPr>
          <w:p w14:paraId="6704AC67" w14:textId="77777777" w:rsidR="009F043D" w:rsidRPr="009F043D" w:rsidRDefault="009F043D" w:rsidP="009F043D">
            <w:r w:rsidRPr="009F043D">
              <w:t>11:15</w:t>
            </w:r>
          </w:p>
        </w:tc>
        <w:tc>
          <w:tcPr>
            <w:tcW w:w="0" w:type="auto"/>
            <w:noWrap/>
            <w:tcMar>
              <w:top w:w="96" w:type="dxa"/>
              <w:left w:w="0" w:type="dxa"/>
              <w:bottom w:w="0" w:type="dxa"/>
              <w:right w:w="360" w:type="dxa"/>
            </w:tcMar>
            <w:hideMark/>
          </w:tcPr>
          <w:p w14:paraId="3956C9D4" w14:textId="77777777" w:rsidR="009F043D" w:rsidRPr="009F043D" w:rsidRDefault="009F043D" w:rsidP="009F043D">
            <w:r w:rsidRPr="009F043D">
              <w:t>AKE 2.6</w:t>
            </w:r>
          </w:p>
        </w:tc>
        <w:tc>
          <w:tcPr>
            <w:tcW w:w="5000" w:type="pct"/>
            <w:tcMar>
              <w:top w:w="96" w:type="dxa"/>
              <w:left w:w="0" w:type="dxa"/>
              <w:bottom w:w="0" w:type="dxa"/>
              <w:right w:w="360" w:type="dxa"/>
            </w:tcMar>
            <w:hideMark/>
          </w:tcPr>
          <w:p w14:paraId="51899EC2" w14:textId="77777777" w:rsidR="009F043D" w:rsidRPr="009F043D" w:rsidRDefault="009F043D" w:rsidP="009F043D">
            <w:pPr>
              <w:rPr>
                <w:lang w:val="en-US"/>
              </w:rPr>
            </w:pPr>
            <w:r w:rsidRPr="009F043D">
              <w:rPr>
                <w:lang w:val="en-US"/>
              </w:rPr>
              <w:t xml:space="preserve">The contribution has been withdrawn (duplicate of </w:t>
            </w:r>
            <w:proofErr w:type="spellStart"/>
            <w:r w:rsidRPr="009F043D">
              <w:rPr>
                <w:lang w:val="en-US"/>
              </w:rPr>
              <w:t>KFM</w:t>
            </w:r>
            <w:proofErr w:type="spellEnd"/>
            <w:r w:rsidRPr="009F043D">
              <w:rPr>
                <w:lang w:val="en-US"/>
              </w:rPr>
              <w:t xml:space="preserve"> 24.10).</w:t>
            </w:r>
          </w:p>
        </w:tc>
      </w:tr>
      <w:tr w:rsidR="009F043D" w:rsidRPr="003C1CAD" w14:paraId="40C6FC66" w14:textId="77777777" w:rsidTr="009F043D">
        <w:trPr>
          <w:tblCellSpacing w:w="15" w:type="dxa"/>
        </w:trPr>
        <w:tc>
          <w:tcPr>
            <w:tcW w:w="0" w:type="auto"/>
            <w:tcMar>
              <w:top w:w="96" w:type="dxa"/>
              <w:left w:w="0" w:type="dxa"/>
              <w:bottom w:w="0" w:type="dxa"/>
              <w:right w:w="360" w:type="dxa"/>
            </w:tcMar>
            <w:hideMark/>
          </w:tcPr>
          <w:p w14:paraId="358FC242" w14:textId="77777777" w:rsidR="009F043D" w:rsidRPr="009F043D" w:rsidRDefault="009F043D" w:rsidP="009F043D">
            <w:pPr>
              <w:rPr>
                <w:lang w:val="en-US"/>
              </w:rPr>
            </w:pPr>
          </w:p>
        </w:tc>
        <w:tc>
          <w:tcPr>
            <w:tcW w:w="0" w:type="auto"/>
            <w:gridSpan w:val="3"/>
            <w:tcMar>
              <w:top w:w="96" w:type="dxa"/>
              <w:left w:w="0" w:type="dxa"/>
              <w:bottom w:w="0" w:type="dxa"/>
              <w:right w:w="360" w:type="dxa"/>
            </w:tcMar>
            <w:hideMark/>
          </w:tcPr>
          <w:p w14:paraId="671C3916" w14:textId="77777777" w:rsidR="009F043D" w:rsidRPr="009F043D" w:rsidRDefault="009F043D" w:rsidP="009F043D">
            <w:pPr>
              <w:rPr>
                <w:lang w:val="en-US"/>
              </w:rPr>
            </w:pPr>
          </w:p>
        </w:tc>
      </w:tr>
    </w:tbl>
    <w:p w14:paraId="549EABD4" w14:textId="77777777" w:rsidR="00847765" w:rsidRPr="00191792" w:rsidRDefault="00847765" w:rsidP="009F043D">
      <w:pPr>
        <w:rPr>
          <w:lang w:val="en-US"/>
        </w:rPr>
      </w:pPr>
    </w:p>
    <w:p w14:paraId="2CCDB51D" w14:textId="383E99CA" w:rsidR="009F043D" w:rsidRPr="009F043D" w:rsidRDefault="009F043D" w:rsidP="009F043D">
      <w:r w:rsidRPr="00191792">
        <w:rPr>
          <w:lang w:val="en-US"/>
        </w:rPr>
        <w:t> </w:t>
      </w:r>
      <w:hyperlink r:id="rId38" w:history="1">
        <w:r w:rsidRPr="009F043D">
          <w:rPr>
            <w:rStyle w:val="Hyperlink"/>
            <w:b/>
            <w:bCs/>
          </w:rPr>
          <w:t>Mobil-Ansicht</w:t>
        </w:r>
      </w:hyperlink>
      <w:r w:rsidRPr="009F043D">
        <w:t> | </w:t>
      </w:r>
      <w:hyperlink r:id="rId39" w:history="1">
        <w:r w:rsidRPr="009F043D">
          <w:rPr>
            <w:rStyle w:val="Hyperlink"/>
            <w:b/>
            <w:bCs/>
          </w:rPr>
          <w:t>English Version</w:t>
        </w:r>
      </w:hyperlink>
      <w:r w:rsidRPr="009F043D">
        <w:t> | </w:t>
      </w:r>
      <w:hyperlink r:id="rId40" w:history="1">
        <w:r w:rsidRPr="009F043D">
          <w:rPr>
            <w:rStyle w:val="Hyperlink"/>
            <w:b/>
            <w:bCs/>
          </w:rPr>
          <w:t>Kontakt/Impressum/Datenschutz</w:t>
        </w:r>
      </w:hyperlink>
    </w:p>
    <w:p w14:paraId="6AA9EE20" w14:textId="77777777" w:rsidR="009F043D" w:rsidRDefault="00000000" w:rsidP="009F043D">
      <w:hyperlink r:id="rId41" w:history="1">
        <w:r w:rsidR="009F043D" w:rsidRPr="009F043D">
          <w:rPr>
            <w:rStyle w:val="Hyperlink"/>
            <w:b/>
            <w:bCs/>
          </w:rPr>
          <w:t>DPG-Physik</w:t>
        </w:r>
      </w:hyperlink>
      <w:r w:rsidR="009F043D" w:rsidRPr="009F043D">
        <w:t> &gt; </w:t>
      </w:r>
      <w:hyperlink r:id="rId42" w:history="1">
        <w:r w:rsidR="009F043D" w:rsidRPr="009F043D">
          <w:rPr>
            <w:rStyle w:val="Hyperlink"/>
            <w:b/>
            <w:bCs/>
          </w:rPr>
          <w:t>DPG-Verhandlungen</w:t>
        </w:r>
      </w:hyperlink>
      <w:r w:rsidR="009F043D" w:rsidRPr="009F043D">
        <w:t> &gt; </w:t>
      </w:r>
      <w:hyperlink r:id="rId43" w:history="1">
        <w:r w:rsidR="009F043D" w:rsidRPr="009F043D">
          <w:rPr>
            <w:rStyle w:val="Hyperlink"/>
            <w:b/>
            <w:bCs/>
          </w:rPr>
          <w:t>2024</w:t>
        </w:r>
      </w:hyperlink>
      <w:r w:rsidR="009F043D" w:rsidRPr="009F043D">
        <w:t> &gt; Berlin</w:t>
      </w:r>
    </w:p>
    <w:p w14:paraId="0C8B7581" w14:textId="77777777" w:rsidR="00391592" w:rsidRPr="00391592" w:rsidRDefault="00391592" w:rsidP="00391592">
      <w:pPr>
        <w:pStyle w:val="berschrift2"/>
        <w:rPr>
          <w:rFonts w:eastAsiaTheme="minorHAnsi"/>
          <w:b/>
          <w:bCs/>
        </w:rPr>
      </w:pPr>
      <w:r>
        <w:br w:type="column"/>
      </w:r>
      <w:bookmarkStart w:id="3" w:name="_Toc161051684"/>
      <w:r w:rsidRPr="00391592">
        <w:rPr>
          <w:rFonts w:eastAsiaTheme="minorHAnsi"/>
          <w:b/>
          <w:bCs/>
        </w:rPr>
        <w:lastRenderedPageBreak/>
        <w:t>AKE 3: Poster</w:t>
      </w:r>
      <w:bookmarkEnd w:id="3"/>
    </w:p>
    <w:p w14:paraId="5D279434" w14:textId="77777777" w:rsidR="00391592" w:rsidRPr="00391592" w:rsidRDefault="00391592" w:rsidP="00391592">
      <w:pPr>
        <w:rPr>
          <w:b/>
          <w:bCs/>
        </w:rPr>
      </w:pPr>
      <w:r w:rsidRPr="00391592">
        <w:rPr>
          <w:b/>
          <w:bCs/>
        </w:rPr>
        <w:t>Dienstag, 19. März 2024, 12:00–14:00, Poster C</w:t>
      </w:r>
    </w:p>
    <w:p w14:paraId="526D6D86" w14:textId="77777777" w:rsidR="00391592" w:rsidRPr="00391592" w:rsidRDefault="00391592" w:rsidP="00391592">
      <w:pPr>
        <w:rPr>
          <w:vanish/>
        </w:rPr>
      </w:pPr>
      <w:r w:rsidRPr="00391592">
        <w:rPr>
          <w:vanish/>
        </w:rPr>
        <w:t>Formularbeginn</w:t>
      </w:r>
    </w:p>
    <w:p w14:paraId="4B0F9754" w14:textId="0315C72A" w:rsidR="00391592" w:rsidRPr="00391592" w:rsidRDefault="00391592" w:rsidP="00391592"/>
    <w:p w14:paraId="302D4FB4" w14:textId="77777777" w:rsidR="00391592" w:rsidRPr="00391592" w:rsidRDefault="00391592" w:rsidP="00391592">
      <w:pPr>
        <w:rPr>
          <w:vanish/>
        </w:rPr>
      </w:pPr>
      <w:r w:rsidRPr="00391592">
        <w:rPr>
          <w:vanish/>
        </w:rPr>
        <w:t>Formularende</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65"/>
        <w:gridCol w:w="1014"/>
        <w:gridCol w:w="1370"/>
        <w:gridCol w:w="6123"/>
      </w:tblGrid>
      <w:tr w:rsidR="00391592" w:rsidRPr="00391592" w14:paraId="74A6B4D2" w14:textId="77777777" w:rsidTr="00EB46C4">
        <w:trPr>
          <w:tblCellSpacing w:w="15" w:type="dxa"/>
        </w:trPr>
        <w:tc>
          <w:tcPr>
            <w:tcW w:w="288" w:type="pct"/>
            <w:tcMar>
              <w:top w:w="96" w:type="dxa"/>
              <w:left w:w="0" w:type="dxa"/>
              <w:bottom w:w="0" w:type="dxa"/>
              <w:right w:w="360" w:type="dxa"/>
            </w:tcMar>
            <w:hideMark/>
          </w:tcPr>
          <w:p w14:paraId="55576C3B" w14:textId="697FAE66" w:rsidR="00391592" w:rsidRPr="00391592" w:rsidRDefault="00391592" w:rsidP="00391592">
            <w:r w:rsidRPr="00391592">
              <w:rPr>
                <w:noProof/>
              </w:rPr>
              <w:drawing>
                <wp:inline distT="0" distB="0" distL="0" distR="0" wp14:anchorId="49A1449D" wp14:editId="015D0B1B">
                  <wp:extent cx="152400" cy="152400"/>
                  <wp:effectExtent l="0" t="0" r="0" b="0"/>
                  <wp:docPr id="335446792" name="Grafik 33" descr="Ein Bild, das Kreis, Symbol, Logo, Design enthält.&#10;&#10;Automatisch generierte Beschreibu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46792" name="Grafik 33" descr="Ein Bild, das Kreis, Symbol, Logo, Design enthält.&#10;&#10;Automatisch generierte Beschreibung">
                            <a:hlinkClick r:id="rId44"/>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46" w:type="pct"/>
            <w:noWrap/>
            <w:tcMar>
              <w:top w:w="96" w:type="dxa"/>
              <w:left w:w="0" w:type="dxa"/>
              <w:bottom w:w="0" w:type="dxa"/>
              <w:right w:w="360" w:type="dxa"/>
            </w:tcMar>
            <w:hideMark/>
          </w:tcPr>
          <w:p w14:paraId="15DFE3FC" w14:textId="77777777" w:rsidR="00391592" w:rsidRPr="00391592" w:rsidRDefault="00391592" w:rsidP="00391592">
            <w:r w:rsidRPr="00391592">
              <w:t>12:00</w:t>
            </w:r>
          </w:p>
        </w:tc>
        <w:tc>
          <w:tcPr>
            <w:tcW w:w="1290" w:type="dxa"/>
            <w:noWrap/>
            <w:tcMar>
              <w:top w:w="96" w:type="dxa"/>
              <w:left w:w="0" w:type="dxa"/>
              <w:bottom w:w="0" w:type="dxa"/>
              <w:right w:w="360" w:type="dxa"/>
            </w:tcMar>
            <w:hideMark/>
          </w:tcPr>
          <w:p w14:paraId="4939F823" w14:textId="77777777" w:rsidR="00391592" w:rsidRPr="00391592" w:rsidRDefault="00391592" w:rsidP="00391592">
            <w:r w:rsidRPr="00391592">
              <w:t>AKE 3.1</w:t>
            </w:r>
          </w:p>
        </w:tc>
        <w:tc>
          <w:tcPr>
            <w:tcW w:w="3373" w:type="pct"/>
            <w:tcMar>
              <w:top w:w="96" w:type="dxa"/>
              <w:left w:w="0" w:type="dxa"/>
              <w:bottom w:w="0" w:type="dxa"/>
              <w:right w:w="360" w:type="dxa"/>
            </w:tcMar>
            <w:hideMark/>
          </w:tcPr>
          <w:p w14:paraId="4FF13C64" w14:textId="77777777" w:rsidR="00391592" w:rsidRPr="00391592" w:rsidRDefault="00000000" w:rsidP="00391592">
            <w:hyperlink r:id="rId45" w:history="1">
              <w:r w:rsidR="00391592" w:rsidRPr="00391592">
                <w:rPr>
                  <w:rStyle w:val="Hyperlink"/>
                </w:rPr>
                <w:t>Das Problem der Reinheit von flüssigem Wasserstoff bei der Verwendung als Kraftstoff</w:t>
              </w:r>
            </w:hyperlink>
            <w:r w:rsidR="00391592" w:rsidRPr="00391592">
              <w:t> — •</w:t>
            </w:r>
            <w:proofErr w:type="spellStart"/>
            <w:r w:rsidR="00391592" w:rsidRPr="00391592">
              <w:t>Artemii</w:t>
            </w:r>
            <w:proofErr w:type="spellEnd"/>
            <w:r w:rsidR="00391592" w:rsidRPr="00391592">
              <w:t xml:space="preserve"> Yakushev</w:t>
            </w:r>
          </w:p>
        </w:tc>
      </w:tr>
      <w:tr w:rsidR="00391592" w:rsidRPr="00391592" w14:paraId="20C117CD" w14:textId="77777777" w:rsidTr="00EB46C4">
        <w:trPr>
          <w:tblCellSpacing w:w="15" w:type="dxa"/>
        </w:trPr>
        <w:tc>
          <w:tcPr>
            <w:tcW w:w="288" w:type="pct"/>
            <w:tcMar>
              <w:top w:w="96" w:type="dxa"/>
              <w:left w:w="0" w:type="dxa"/>
              <w:bottom w:w="0" w:type="dxa"/>
              <w:right w:w="360" w:type="dxa"/>
            </w:tcMar>
            <w:hideMark/>
          </w:tcPr>
          <w:p w14:paraId="3A73DD17" w14:textId="77777777" w:rsidR="00391592" w:rsidRPr="00391592" w:rsidRDefault="00391592" w:rsidP="00391592"/>
        </w:tc>
        <w:tc>
          <w:tcPr>
            <w:tcW w:w="4663" w:type="pct"/>
            <w:gridSpan w:val="3"/>
            <w:tcMar>
              <w:top w:w="96" w:type="dxa"/>
              <w:left w:w="0" w:type="dxa"/>
              <w:bottom w:w="0" w:type="dxa"/>
              <w:right w:w="360" w:type="dxa"/>
            </w:tcMar>
            <w:hideMark/>
          </w:tcPr>
          <w:p w14:paraId="4DB50EB8" w14:textId="77777777" w:rsidR="00391592" w:rsidRPr="00391592" w:rsidRDefault="00391592" w:rsidP="00391592">
            <w:r w:rsidRPr="00391592">
              <w:rPr>
                <w:b/>
                <w:bCs/>
              </w:rPr>
              <w:t>Das Problem der Reinheit von flüssigem Wasserstoff bei der Verwendung als Kraftstoff</w:t>
            </w:r>
            <w:r w:rsidRPr="00391592">
              <w:t> — •</w:t>
            </w:r>
            <w:proofErr w:type="spellStart"/>
            <w:r w:rsidRPr="00391592">
              <w:t>Artemii</w:t>
            </w:r>
            <w:proofErr w:type="spellEnd"/>
            <w:r w:rsidRPr="00391592">
              <w:t xml:space="preserve"> Yakushev — Moscow, Russia</w:t>
            </w:r>
          </w:p>
          <w:p w14:paraId="36028C46" w14:textId="77777777" w:rsidR="00391592" w:rsidRPr="00391592" w:rsidRDefault="00391592" w:rsidP="00391592">
            <w:r w:rsidRPr="00391592">
              <w:t>Flüssiger Wasserstoff ist ein umweltfreundlicher und energieintensiver Kraftstoff. Damit es jedoch allgemein und sicher verwendet wird, muss die Kraftstoffqualität hoch sein.</w:t>
            </w:r>
          </w:p>
          <w:p w14:paraId="1ACC34B2" w14:textId="77777777" w:rsidR="00391592" w:rsidRPr="00391592" w:rsidRDefault="00391592" w:rsidP="00391592">
            <w:r w:rsidRPr="00391592">
              <w:t>Eine direkte Analyse von flüssigem Wasserstoff ist nicht möglich, daher werden die verdampften Proben analysiert. Hier gibt es unter anderem ein Problem: nur Helium und Neon befinden sich im gasförmigen Zustand bei einer Temperatur unter -</w:t>
            </w:r>
            <w:proofErr w:type="spellStart"/>
            <w:r w:rsidRPr="00391592">
              <w:t>252°C</w:t>
            </w:r>
            <w:proofErr w:type="spellEnd"/>
            <w:r w:rsidRPr="00391592">
              <w:t xml:space="preserve"> (das ist die Temperatur des flüssigen Kraftstoffs), und die Löslichkeit der anderen Hauptverunreinigungen, die sich im festen oder flüssigen Aggregatzustand befinden, ist sehr gering (etwa 1*10-7-1*10-6 %). Auf dieser Weise wird bei der Verdampfung von Wasserstoff werden Verunreinigungen konzentriert, die chemische Zusammensetzung des Kraftstoffs ändert sich.</w:t>
            </w:r>
          </w:p>
          <w:p w14:paraId="270E4D48" w14:textId="77777777" w:rsidR="00391592" w:rsidRPr="00391592" w:rsidRDefault="00391592" w:rsidP="00391592">
            <w:r w:rsidRPr="00391592">
              <w:t>In dieser Arbeit, um das Verhalten der Verunreinigung bei verschiedenen Kraftstoffmanipulationen leichter zu verfolgen, betrachten wir folgenden Klassifizierungen: nach dem Aggregatzustand, in dem sich die Verunreinigung in verflüssigtem Wasserstoff befindet und in dem sie beim Erhitzen des Kraftstoffs gelangen wird.</w:t>
            </w:r>
          </w:p>
          <w:p w14:paraId="6AB79AF8" w14:textId="77777777" w:rsidR="00391592" w:rsidRPr="00391592" w:rsidRDefault="00391592" w:rsidP="00391592">
            <w:r w:rsidRPr="00391592">
              <w:t>Durch diese beiden Parameter kann das Verhalten den Gruppen der Verunreinigung verfolgt werden.</w:t>
            </w:r>
          </w:p>
        </w:tc>
      </w:tr>
      <w:tr w:rsidR="00391592" w:rsidRPr="003C1CAD" w14:paraId="109B490E" w14:textId="77777777" w:rsidTr="00EB46C4">
        <w:trPr>
          <w:tblCellSpacing w:w="15" w:type="dxa"/>
        </w:trPr>
        <w:tc>
          <w:tcPr>
            <w:tcW w:w="288" w:type="pct"/>
            <w:tcMar>
              <w:top w:w="96" w:type="dxa"/>
              <w:left w:w="0" w:type="dxa"/>
              <w:bottom w:w="0" w:type="dxa"/>
              <w:right w:w="360" w:type="dxa"/>
            </w:tcMar>
            <w:hideMark/>
          </w:tcPr>
          <w:p w14:paraId="2ABAE90B" w14:textId="5F1FF033" w:rsidR="00391592" w:rsidRPr="00391592" w:rsidRDefault="00391592" w:rsidP="00391592">
            <w:r w:rsidRPr="00391592">
              <w:rPr>
                <w:noProof/>
              </w:rPr>
              <w:drawing>
                <wp:inline distT="0" distB="0" distL="0" distR="0" wp14:anchorId="7638C0E9" wp14:editId="220619FE">
                  <wp:extent cx="152400" cy="152400"/>
                  <wp:effectExtent l="0" t="0" r="0" b="0"/>
                  <wp:docPr id="1245669018" name="Grafik 31" descr="Ein Bild, das Kreis, Symbol, Logo, Design enthält.&#10;&#10;Automatisch generierte Beschreibu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69018" name="Grafik 31" descr="Ein Bild, das Kreis, Symbol, Logo, Design enthält.&#10;&#10;Automatisch generierte Beschreibung">
                            <a:hlinkClick r:id="rId46"/>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46" w:type="pct"/>
            <w:noWrap/>
            <w:tcMar>
              <w:top w:w="96" w:type="dxa"/>
              <w:left w:w="0" w:type="dxa"/>
              <w:bottom w:w="0" w:type="dxa"/>
              <w:right w:w="360" w:type="dxa"/>
            </w:tcMar>
            <w:hideMark/>
          </w:tcPr>
          <w:p w14:paraId="5F8B0F1B" w14:textId="77777777" w:rsidR="00391592" w:rsidRPr="00391592" w:rsidRDefault="00391592" w:rsidP="00391592">
            <w:r w:rsidRPr="00391592">
              <w:t>12:00</w:t>
            </w:r>
          </w:p>
        </w:tc>
        <w:tc>
          <w:tcPr>
            <w:tcW w:w="1290" w:type="dxa"/>
            <w:noWrap/>
            <w:tcMar>
              <w:top w:w="96" w:type="dxa"/>
              <w:left w:w="0" w:type="dxa"/>
              <w:bottom w:w="0" w:type="dxa"/>
              <w:right w:w="360" w:type="dxa"/>
            </w:tcMar>
            <w:hideMark/>
          </w:tcPr>
          <w:p w14:paraId="74CF5CEA" w14:textId="77777777" w:rsidR="00391592" w:rsidRPr="00391592" w:rsidRDefault="00391592" w:rsidP="00391592">
            <w:r w:rsidRPr="00391592">
              <w:t>AKE 3.2</w:t>
            </w:r>
          </w:p>
        </w:tc>
        <w:tc>
          <w:tcPr>
            <w:tcW w:w="3373" w:type="pct"/>
            <w:tcMar>
              <w:top w:w="96" w:type="dxa"/>
              <w:left w:w="0" w:type="dxa"/>
              <w:bottom w:w="0" w:type="dxa"/>
              <w:right w:w="360" w:type="dxa"/>
            </w:tcMar>
            <w:hideMark/>
          </w:tcPr>
          <w:p w14:paraId="522C829B" w14:textId="77777777" w:rsidR="00391592" w:rsidRPr="00391592" w:rsidRDefault="00000000" w:rsidP="00391592">
            <w:pPr>
              <w:rPr>
                <w:lang w:val="en-US"/>
              </w:rPr>
            </w:pPr>
            <w:hyperlink r:id="rId47" w:history="1">
              <w:r w:rsidR="00391592" w:rsidRPr="00391592">
                <w:rPr>
                  <w:rStyle w:val="Hyperlink"/>
                  <w:lang w:val="en-US"/>
                </w:rPr>
                <w:t>Modernization of the Compressed Air Supply System for Gas Compressor Units (GPA)</w:t>
              </w:r>
            </w:hyperlink>
            <w:r w:rsidR="00391592" w:rsidRPr="00391592">
              <w:rPr>
                <w:lang w:val="en-US"/>
              </w:rPr>
              <w:t> — •Sergey Kalinin</w:t>
            </w:r>
          </w:p>
        </w:tc>
      </w:tr>
      <w:tr w:rsidR="00391592" w:rsidRPr="003C1CAD" w14:paraId="362FF012" w14:textId="77777777" w:rsidTr="00EB46C4">
        <w:trPr>
          <w:tblCellSpacing w:w="15" w:type="dxa"/>
        </w:trPr>
        <w:tc>
          <w:tcPr>
            <w:tcW w:w="288" w:type="pct"/>
            <w:tcMar>
              <w:top w:w="96" w:type="dxa"/>
              <w:left w:w="0" w:type="dxa"/>
              <w:bottom w:w="0" w:type="dxa"/>
              <w:right w:w="360" w:type="dxa"/>
            </w:tcMar>
            <w:hideMark/>
          </w:tcPr>
          <w:p w14:paraId="304E6246" w14:textId="77777777" w:rsidR="00391592" w:rsidRPr="00391592" w:rsidRDefault="00391592" w:rsidP="00391592">
            <w:pPr>
              <w:rPr>
                <w:lang w:val="en-US"/>
              </w:rPr>
            </w:pPr>
          </w:p>
        </w:tc>
        <w:tc>
          <w:tcPr>
            <w:tcW w:w="4663" w:type="pct"/>
            <w:gridSpan w:val="3"/>
            <w:tcMar>
              <w:top w:w="96" w:type="dxa"/>
              <w:left w:w="0" w:type="dxa"/>
              <w:bottom w:w="0" w:type="dxa"/>
              <w:right w:w="360" w:type="dxa"/>
            </w:tcMar>
            <w:hideMark/>
          </w:tcPr>
          <w:p w14:paraId="509730A1" w14:textId="29B3B5B0" w:rsidR="00391592" w:rsidRPr="00EB46C4" w:rsidRDefault="00391592" w:rsidP="009957FF">
            <w:pPr>
              <w:rPr>
                <w:vanish/>
                <w:lang w:val="en-US"/>
              </w:rPr>
            </w:pPr>
            <w:r w:rsidRPr="00EB46C4">
              <w:rPr>
                <w:vanish/>
                <w:lang w:val="en-US"/>
              </w:rPr>
              <w:t>F</w:t>
            </w:r>
          </w:p>
          <w:p w14:paraId="5331708C" w14:textId="77777777" w:rsidR="00391592" w:rsidRPr="00391592" w:rsidRDefault="00391592" w:rsidP="00391592">
            <w:pPr>
              <w:rPr>
                <w:lang w:val="en-US"/>
              </w:rPr>
            </w:pPr>
            <w:r w:rsidRPr="00391592">
              <w:rPr>
                <w:b/>
                <w:bCs/>
                <w:lang w:val="en-US"/>
              </w:rPr>
              <w:t>Modernization of the Compressed Air Supply System for Gas Compressor Units (GPA)</w:t>
            </w:r>
            <w:r w:rsidRPr="00391592">
              <w:rPr>
                <w:lang w:val="en-US"/>
              </w:rPr>
              <w:t> — •Sergey Kalinin — Moscow, Russia</w:t>
            </w:r>
          </w:p>
          <w:p w14:paraId="2AB77F74" w14:textId="77777777" w:rsidR="00391592" w:rsidRPr="00391592" w:rsidRDefault="00391592" w:rsidP="00391592">
            <w:pPr>
              <w:rPr>
                <w:lang w:val="en-US"/>
              </w:rPr>
            </w:pPr>
            <w:r w:rsidRPr="00391592">
              <w:rPr>
                <w:lang w:val="en-US"/>
              </w:rPr>
              <w:t>The goal is to reduce the operational costs of a gas compressor unit. A design involving a block-container automated unit with a gas turbine drive of the NK-16-</w:t>
            </w:r>
            <w:proofErr w:type="spellStart"/>
            <w:r w:rsidRPr="00391592">
              <w:rPr>
                <w:lang w:val="en-US"/>
              </w:rPr>
              <w:t>18STD</w:t>
            </w:r>
            <w:proofErr w:type="spellEnd"/>
            <w:r w:rsidRPr="00391592">
              <w:rPr>
                <w:lang w:val="en-US"/>
              </w:rPr>
              <w:t xml:space="preserve"> type with an 18 MW power output, a centrifugal gas compressor reaching a final pressure of 9.9 MPa and a compression ratio of 2.32, equipped with a rotor featuring magnetic bearings and end gas-dynamic seals, has been considered.</w:t>
            </w:r>
          </w:p>
          <w:p w14:paraId="5CA161C0" w14:textId="77777777" w:rsidR="00391592" w:rsidRPr="00391592" w:rsidRDefault="00391592" w:rsidP="00391592">
            <w:pPr>
              <w:rPr>
                <w:lang w:val="en-US"/>
              </w:rPr>
            </w:pPr>
            <w:r w:rsidRPr="00391592">
              <w:rPr>
                <w:lang w:val="en-US"/>
              </w:rPr>
              <w:t>The compressed air delivery system for the GPA's needs has been examined. An alternative air delivery system with the required parameters has been reviewed. A technological solution and structural design for the alternative air delivery system have been proposed. Calculations for the technological and structural parameters of the GPA sealing system have been carried out. Economic justification for the project to modernize the compressed air delivery system is provided. This research was made in the Strategic Academic Leadership program.</w:t>
            </w:r>
          </w:p>
        </w:tc>
      </w:tr>
      <w:tr w:rsidR="00391592" w:rsidRPr="003C1CAD" w14:paraId="7B280478" w14:textId="77777777" w:rsidTr="00EB46C4">
        <w:trPr>
          <w:tblCellSpacing w:w="15" w:type="dxa"/>
        </w:trPr>
        <w:tc>
          <w:tcPr>
            <w:tcW w:w="288" w:type="pct"/>
            <w:tcMar>
              <w:top w:w="96" w:type="dxa"/>
              <w:left w:w="0" w:type="dxa"/>
              <w:bottom w:w="0" w:type="dxa"/>
              <w:right w:w="360" w:type="dxa"/>
            </w:tcMar>
            <w:hideMark/>
          </w:tcPr>
          <w:p w14:paraId="6819BCE7" w14:textId="5BAEC9FB" w:rsidR="00391592" w:rsidRPr="00391592" w:rsidRDefault="00391592" w:rsidP="00391592">
            <w:r w:rsidRPr="00391592">
              <w:rPr>
                <w:noProof/>
              </w:rPr>
              <w:drawing>
                <wp:inline distT="0" distB="0" distL="0" distR="0" wp14:anchorId="0D97FB80" wp14:editId="6D186385">
                  <wp:extent cx="152400" cy="152400"/>
                  <wp:effectExtent l="0" t="0" r="0" b="0"/>
                  <wp:docPr id="1475534020" name="Grafik 29" descr="Ein Bild, das Kreis, Symbol, Logo, Design enthält.&#10;&#10;Automatisch generierte Beschreibu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34020" name="Grafik 29" descr="Ein Bild, das Kreis, Symbol, Logo, Design enthält.&#10;&#10;Automatisch generierte Beschreibung">
                            <a:hlinkClick r:id="rId48"/>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46" w:type="pct"/>
            <w:noWrap/>
            <w:tcMar>
              <w:top w:w="96" w:type="dxa"/>
              <w:left w:w="0" w:type="dxa"/>
              <w:bottom w:w="0" w:type="dxa"/>
              <w:right w:w="360" w:type="dxa"/>
            </w:tcMar>
            <w:hideMark/>
          </w:tcPr>
          <w:p w14:paraId="3E70C601" w14:textId="77777777" w:rsidR="00391592" w:rsidRPr="00391592" w:rsidRDefault="00391592" w:rsidP="00391592">
            <w:r w:rsidRPr="00391592">
              <w:t>12:00</w:t>
            </w:r>
          </w:p>
        </w:tc>
        <w:tc>
          <w:tcPr>
            <w:tcW w:w="1290" w:type="dxa"/>
            <w:noWrap/>
            <w:tcMar>
              <w:top w:w="96" w:type="dxa"/>
              <w:left w:w="0" w:type="dxa"/>
              <w:bottom w:w="0" w:type="dxa"/>
              <w:right w:w="360" w:type="dxa"/>
            </w:tcMar>
            <w:hideMark/>
          </w:tcPr>
          <w:p w14:paraId="0768F746" w14:textId="77777777" w:rsidR="00391592" w:rsidRPr="00391592" w:rsidRDefault="00391592" w:rsidP="00391592">
            <w:r w:rsidRPr="00391592">
              <w:t>AKE 3.3</w:t>
            </w:r>
          </w:p>
        </w:tc>
        <w:tc>
          <w:tcPr>
            <w:tcW w:w="3373" w:type="pct"/>
            <w:tcMar>
              <w:top w:w="96" w:type="dxa"/>
              <w:left w:w="0" w:type="dxa"/>
              <w:bottom w:w="0" w:type="dxa"/>
              <w:right w:w="360" w:type="dxa"/>
            </w:tcMar>
            <w:hideMark/>
          </w:tcPr>
          <w:p w14:paraId="60E2E2EA" w14:textId="77777777" w:rsidR="00391592" w:rsidRPr="00391592" w:rsidRDefault="00000000" w:rsidP="00391592">
            <w:pPr>
              <w:rPr>
                <w:lang w:val="en-US"/>
              </w:rPr>
            </w:pPr>
            <w:hyperlink r:id="rId49" w:history="1">
              <w:r w:rsidR="00391592" w:rsidRPr="00391592">
                <w:rPr>
                  <w:rStyle w:val="Hyperlink"/>
                  <w:lang w:val="en-US"/>
                </w:rPr>
                <w:t>EXPERIENCE IN USING TITANIUM BLADES</w:t>
              </w:r>
            </w:hyperlink>
            <w:r w:rsidR="00391592" w:rsidRPr="00391592">
              <w:rPr>
                <w:lang w:val="en-US"/>
              </w:rPr>
              <w:t> — •Vasilisa Maslova</w:t>
            </w:r>
          </w:p>
        </w:tc>
      </w:tr>
      <w:tr w:rsidR="00391592" w:rsidRPr="003C1CAD" w14:paraId="4C552C3D" w14:textId="77777777" w:rsidTr="00EB46C4">
        <w:trPr>
          <w:tblCellSpacing w:w="15" w:type="dxa"/>
        </w:trPr>
        <w:tc>
          <w:tcPr>
            <w:tcW w:w="288" w:type="pct"/>
            <w:tcMar>
              <w:top w:w="96" w:type="dxa"/>
              <w:left w:w="0" w:type="dxa"/>
              <w:bottom w:w="0" w:type="dxa"/>
              <w:right w:w="360" w:type="dxa"/>
            </w:tcMar>
            <w:hideMark/>
          </w:tcPr>
          <w:p w14:paraId="49406B26" w14:textId="77777777" w:rsidR="00391592" w:rsidRPr="00391592" w:rsidRDefault="00391592" w:rsidP="00391592">
            <w:pPr>
              <w:rPr>
                <w:lang w:val="en-US"/>
              </w:rPr>
            </w:pPr>
          </w:p>
        </w:tc>
        <w:tc>
          <w:tcPr>
            <w:tcW w:w="4663" w:type="pct"/>
            <w:gridSpan w:val="3"/>
            <w:tcMar>
              <w:top w:w="96" w:type="dxa"/>
              <w:left w:w="0" w:type="dxa"/>
              <w:bottom w:w="0" w:type="dxa"/>
              <w:right w:w="360" w:type="dxa"/>
            </w:tcMar>
            <w:hideMark/>
          </w:tcPr>
          <w:p w14:paraId="42C2CF92" w14:textId="77777777" w:rsidR="00391592" w:rsidRPr="00391592" w:rsidRDefault="00391592" w:rsidP="00391592">
            <w:pPr>
              <w:rPr>
                <w:lang w:val="en-US"/>
              </w:rPr>
            </w:pPr>
            <w:r w:rsidRPr="00391592">
              <w:rPr>
                <w:b/>
                <w:bCs/>
                <w:lang w:val="en-US"/>
              </w:rPr>
              <w:t>EXPERIENCE IN USING TITANIUM BLADES</w:t>
            </w:r>
            <w:r w:rsidRPr="00391592">
              <w:rPr>
                <w:lang w:val="en-US"/>
              </w:rPr>
              <w:t> — •Vasilisa Maslova — Moscow, Russia</w:t>
            </w:r>
          </w:p>
          <w:p w14:paraId="46A1E82F" w14:textId="77777777" w:rsidR="00391592" w:rsidRPr="00391592" w:rsidRDefault="00391592" w:rsidP="00391592">
            <w:pPr>
              <w:rPr>
                <w:lang w:val="en-US"/>
              </w:rPr>
            </w:pPr>
            <w:r w:rsidRPr="00391592">
              <w:rPr>
                <w:lang w:val="en-US"/>
              </w:rPr>
              <w:t xml:space="preserve">Titanium and its alloy </w:t>
            </w:r>
            <w:proofErr w:type="spellStart"/>
            <w:r w:rsidRPr="00391592">
              <w:rPr>
                <w:lang w:val="en-US"/>
              </w:rPr>
              <w:t>VT6</w:t>
            </w:r>
            <w:proofErr w:type="spellEnd"/>
            <w:r w:rsidRPr="00391592">
              <w:rPr>
                <w:lang w:val="en-US"/>
              </w:rPr>
              <w:t xml:space="preserve"> have been studied, the temperature of polymorphic transformation has been determined by the method of trial hardening, the two-phase composition of the alloy has been investigated, and its microstructure has been examined. The dependence of the content of the alpha phase on the hardening temperature at the same holding time has been revealed. In addition, statistical processing of supplier data on yield strength, ultimate tensile strength, elongation, reduction in area, impact toughness (</w:t>
            </w:r>
            <w:proofErr w:type="spellStart"/>
            <w:r w:rsidRPr="00391592">
              <w:rPr>
                <w:lang w:val="en-US"/>
              </w:rPr>
              <w:t>KCU</w:t>
            </w:r>
            <w:proofErr w:type="spellEnd"/>
            <w:r w:rsidRPr="00391592">
              <w:rPr>
                <w:lang w:val="en-US"/>
              </w:rPr>
              <w:t xml:space="preserve">), and content of alpha phase of stamped blade blanks has been conducted. Histograms of the distribution of final mechanical properties have also been obtained, leading to a conclusion about the stability of the manufacturing technology. This research was made in the Strategic Academic </w:t>
            </w:r>
            <w:proofErr w:type="spellStart"/>
            <w:r w:rsidRPr="00391592">
              <w:rPr>
                <w:lang w:val="en-US"/>
              </w:rPr>
              <w:t>Leadershop</w:t>
            </w:r>
            <w:proofErr w:type="spellEnd"/>
            <w:r w:rsidRPr="00391592">
              <w:rPr>
                <w:lang w:val="en-US"/>
              </w:rPr>
              <w:t xml:space="preserve"> program.</w:t>
            </w:r>
          </w:p>
        </w:tc>
      </w:tr>
      <w:tr w:rsidR="00391592" w:rsidRPr="003C1CAD" w14:paraId="7AA6077A" w14:textId="77777777" w:rsidTr="00EB46C4">
        <w:trPr>
          <w:tblCellSpacing w:w="15" w:type="dxa"/>
        </w:trPr>
        <w:tc>
          <w:tcPr>
            <w:tcW w:w="288" w:type="pct"/>
            <w:tcMar>
              <w:top w:w="96" w:type="dxa"/>
              <w:left w:w="0" w:type="dxa"/>
              <w:bottom w:w="0" w:type="dxa"/>
              <w:right w:w="360" w:type="dxa"/>
            </w:tcMar>
            <w:hideMark/>
          </w:tcPr>
          <w:p w14:paraId="7A8EFFD7" w14:textId="3DC2FECD" w:rsidR="00391592" w:rsidRPr="00391592" w:rsidRDefault="00391592" w:rsidP="00391592">
            <w:r w:rsidRPr="00391592">
              <w:rPr>
                <w:noProof/>
              </w:rPr>
              <w:drawing>
                <wp:inline distT="0" distB="0" distL="0" distR="0" wp14:anchorId="57D2CCDA" wp14:editId="642A170B">
                  <wp:extent cx="152400" cy="152400"/>
                  <wp:effectExtent l="0" t="0" r="0" b="0"/>
                  <wp:docPr id="128481882" name="Grafik 27" descr="Ein Bild, das Kreis, Symbol, Logo, Design enthält.&#10;&#10;Automatisch generierte Beschreibu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1882" name="Grafik 27" descr="Ein Bild, das Kreis, Symbol, Logo, Design enthält.&#10;&#10;Automatisch generierte Beschreibung">
                            <a:hlinkClick r:id="rId50"/>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46" w:type="pct"/>
            <w:noWrap/>
            <w:tcMar>
              <w:top w:w="96" w:type="dxa"/>
              <w:left w:w="0" w:type="dxa"/>
              <w:bottom w:w="0" w:type="dxa"/>
              <w:right w:w="360" w:type="dxa"/>
            </w:tcMar>
            <w:hideMark/>
          </w:tcPr>
          <w:p w14:paraId="5AF9D995" w14:textId="77777777" w:rsidR="00391592" w:rsidRPr="00391592" w:rsidRDefault="00391592" w:rsidP="00391592">
            <w:r w:rsidRPr="00391592">
              <w:t>12:00</w:t>
            </w:r>
          </w:p>
        </w:tc>
        <w:tc>
          <w:tcPr>
            <w:tcW w:w="1290" w:type="dxa"/>
            <w:noWrap/>
            <w:tcMar>
              <w:top w:w="96" w:type="dxa"/>
              <w:left w:w="0" w:type="dxa"/>
              <w:bottom w:w="0" w:type="dxa"/>
              <w:right w:w="360" w:type="dxa"/>
            </w:tcMar>
            <w:hideMark/>
          </w:tcPr>
          <w:p w14:paraId="3E1D1A59" w14:textId="77777777" w:rsidR="00391592" w:rsidRPr="00391592" w:rsidRDefault="00391592" w:rsidP="00391592">
            <w:r w:rsidRPr="00391592">
              <w:t>AKE 3.4</w:t>
            </w:r>
          </w:p>
        </w:tc>
        <w:tc>
          <w:tcPr>
            <w:tcW w:w="3373" w:type="pct"/>
            <w:tcMar>
              <w:top w:w="96" w:type="dxa"/>
              <w:left w:w="0" w:type="dxa"/>
              <w:bottom w:w="0" w:type="dxa"/>
              <w:right w:w="360" w:type="dxa"/>
            </w:tcMar>
            <w:hideMark/>
          </w:tcPr>
          <w:p w14:paraId="7D888D6A" w14:textId="77777777" w:rsidR="00391592" w:rsidRPr="00391592" w:rsidRDefault="00000000" w:rsidP="00391592">
            <w:pPr>
              <w:rPr>
                <w:lang w:val="en-US"/>
              </w:rPr>
            </w:pPr>
            <w:hyperlink r:id="rId51" w:history="1">
              <w:r w:rsidR="00391592" w:rsidRPr="00391592">
                <w:rPr>
                  <w:rStyle w:val="Hyperlink"/>
                  <w:lang w:val="en-US"/>
                </w:rPr>
                <w:t>Applying self-driving car technology to life</w:t>
              </w:r>
            </w:hyperlink>
            <w:r w:rsidR="00391592" w:rsidRPr="00391592">
              <w:rPr>
                <w:lang w:val="en-US"/>
              </w:rPr>
              <w:t> — •Hong Duc Phan</w:t>
            </w:r>
          </w:p>
        </w:tc>
      </w:tr>
      <w:tr w:rsidR="00391592" w:rsidRPr="00391592" w14:paraId="4615FEE6" w14:textId="77777777" w:rsidTr="00EB46C4">
        <w:trPr>
          <w:tblCellSpacing w:w="15" w:type="dxa"/>
        </w:trPr>
        <w:tc>
          <w:tcPr>
            <w:tcW w:w="288" w:type="pct"/>
            <w:tcMar>
              <w:top w:w="96" w:type="dxa"/>
              <w:left w:w="0" w:type="dxa"/>
              <w:bottom w:w="0" w:type="dxa"/>
              <w:right w:w="360" w:type="dxa"/>
            </w:tcMar>
            <w:hideMark/>
          </w:tcPr>
          <w:p w14:paraId="4E79C9C8" w14:textId="77777777" w:rsidR="00391592" w:rsidRPr="00391592" w:rsidRDefault="00391592" w:rsidP="00391592">
            <w:pPr>
              <w:rPr>
                <w:lang w:val="en-US"/>
              </w:rPr>
            </w:pPr>
          </w:p>
        </w:tc>
        <w:tc>
          <w:tcPr>
            <w:tcW w:w="4663" w:type="pct"/>
            <w:gridSpan w:val="3"/>
            <w:tcMar>
              <w:top w:w="96" w:type="dxa"/>
              <w:left w:w="0" w:type="dxa"/>
              <w:bottom w:w="0" w:type="dxa"/>
              <w:right w:w="360" w:type="dxa"/>
            </w:tcMar>
            <w:hideMark/>
          </w:tcPr>
          <w:p w14:paraId="6CC6BCBF" w14:textId="6F7A14CA" w:rsidR="00391592" w:rsidRPr="00EB46C4" w:rsidRDefault="00391592" w:rsidP="00391592">
            <w:pPr>
              <w:rPr>
                <w:vanish/>
                <w:lang w:val="en-US"/>
              </w:rPr>
            </w:pPr>
          </w:p>
          <w:p w14:paraId="1F43DB55" w14:textId="77777777" w:rsidR="00391592" w:rsidRPr="00391592" w:rsidRDefault="00391592" w:rsidP="00391592">
            <w:pPr>
              <w:rPr>
                <w:lang w:val="en-US"/>
              </w:rPr>
            </w:pPr>
            <w:r w:rsidRPr="00391592">
              <w:rPr>
                <w:b/>
                <w:bCs/>
                <w:lang w:val="en-US"/>
              </w:rPr>
              <w:t>Applying self-driving car technology to life</w:t>
            </w:r>
            <w:r w:rsidRPr="00391592">
              <w:rPr>
                <w:lang w:val="en-US"/>
              </w:rPr>
              <w:t> — •Hong Duc Phan — Moscow, Russia</w:t>
            </w:r>
          </w:p>
          <w:p w14:paraId="09420DBF" w14:textId="77777777" w:rsidR="00391592" w:rsidRPr="00391592" w:rsidRDefault="00391592" w:rsidP="00391592">
            <w:r w:rsidRPr="00391592">
              <w:rPr>
                <w:lang w:val="en-US"/>
              </w:rPr>
              <w:t xml:space="preserve">In the realm of automotive technology today, autonomous driving technology is revolutionary. The purpose of driving technology research and development is to make driving more stress-free and relaxing for drivers. Utilizing satellite signals, the vehicle’s surrounding sensors are combined to handle operational circumstances. Improve the car’s comfort and safety. The article focuses on the potential applications of autonomous vehicle technology. </w:t>
            </w:r>
            <w:r w:rsidRPr="00391592">
              <w:t xml:space="preserve">But </w:t>
            </w:r>
            <w:proofErr w:type="spellStart"/>
            <w:r w:rsidRPr="00391592">
              <w:t>more</w:t>
            </w:r>
            <w:proofErr w:type="spellEnd"/>
            <w:r w:rsidRPr="00391592">
              <w:t xml:space="preserve"> </w:t>
            </w:r>
            <w:proofErr w:type="spellStart"/>
            <w:r w:rsidRPr="00391592">
              <w:t>investigation</w:t>
            </w:r>
            <w:proofErr w:type="spellEnd"/>
            <w:r w:rsidRPr="00391592">
              <w:t xml:space="preserve"> </w:t>
            </w:r>
            <w:proofErr w:type="spellStart"/>
            <w:r w:rsidRPr="00391592">
              <w:t>is</w:t>
            </w:r>
            <w:proofErr w:type="spellEnd"/>
            <w:r w:rsidRPr="00391592">
              <w:t xml:space="preserve"> </w:t>
            </w:r>
            <w:proofErr w:type="spellStart"/>
            <w:r w:rsidRPr="00391592">
              <w:t>required</w:t>
            </w:r>
            <w:proofErr w:type="spellEnd"/>
            <w:r w:rsidRPr="00391592">
              <w:t xml:space="preserve"> </w:t>
            </w:r>
            <w:proofErr w:type="spellStart"/>
            <w:r w:rsidRPr="00391592">
              <w:t>to</w:t>
            </w:r>
            <w:proofErr w:type="spellEnd"/>
            <w:r w:rsidRPr="00391592">
              <w:t xml:space="preserve"> boost </w:t>
            </w:r>
            <w:proofErr w:type="spellStart"/>
            <w:r w:rsidRPr="00391592">
              <w:t>user</w:t>
            </w:r>
            <w:proofErr w:type="spellEnd"/>
            <w:r w:rsidRPr="00391592">
              <w:t xml:space="preserve"> </w:t>
            </w:r>
            <w:proofErr w:type="spellStart"/>
            <w:r w:rsidRPr="00391592">
              <w:t>dependability</w:t>
            </w:r>
            <w:proofErr w:type="spellEnd"/>
            <w:r w:rsidRPr="00391592">
              <w:t>.</w:t>
            </w:r>
          </w:p>
        </w:tc>
      </w:tr>
      <w:tr w:rsidR="00391592" w:rsidRPr="00391592" w14:paraId="309605CA" w14:textId="77777777" w:rsidTr="00EB46C4">
        <w:trPr>
          <w:tblCellSpacing w:w="15" w:type="dxa"/>
        </w:trPr>
        <w:tc>
          <w:tcPr>
            <w:tcW w:w="288" w:type="pct"/>
            <w:tcMar>
              <w:top w:w="96" w:type="dxa"/>
              <w:left w:w="0" w:type="dxa"/>
              <w:bottom w:w="0" w:type="dxa"/>
              <w:right w:w="360" w:type="dxa"/>
            </w:tcMar>
            <w:hideMark/>
          </w:tcPr>
          <w:p w14:paraId="54E0A554" w14:textId="12C3125D" w:rsidR="00391592" w:rsidRPr="00391592" w:rsidRDefault="00391592" w:rsidP="00391592">
            <w:r w:rsidRPr="00391592">
              <w:rPr>
                <w:noProof/>
              </w:rPr>
              <w:drawing>
                <wp:inline distT="0" distB="0" distL="0" distR="0" wp14:anchorId="074B12BC" wp14:editId="55D62129">
                  <wp:extent cx="152400" cy="152400"/>
                  <wp:effectExtent l="0" t="0" r="0" b="0"/>
                  <wp:docPr id="147744905" name="Grafik 25" descr="Ein Bild, das Kreis, Symbol, Logo, Design enthält.&#10;&#10;Automatisch generierte Beschreibu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4905" name="Grafik 25" descr="Ein Bild, das Kreis, Symbol, Logo, Design enthält.&#10;&#10;Automatisch generierte Beschreibung">
                            <a:hlinkClick r:id="rId5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46" w:type="pct"/>
            <w:noWrap/>
            <w:tcMar>
              <w:top w:w="96" w:type="dxa"/>
              <w:left w:w="0" w:type="dxa"/>
              <w:bottom w:w="0" w:type="dxa"/>
              <w:right w:w="360" w:type="dxa"/>
            </w:tcMar>
            <w:hideMark/>
          </w:tcPr>
          <w:p w14:paraId="4933774F" w14:textId="77777777" w:rsidR="00391592" w:rsidRPr="00391592" w:rsidRDefault="00391592" w:rsidP="00391592">
            <w:r w:rsidRPr="00391592">
              <w:t>12:00</w:t>
            </w:r>
          </w:p>
        </w:tc>
        <w:tc>
          <w:tcPr>
            <w:tcW w:w="1290" w:type="dxa"/>
            <w:noWrap/>
            <w:tcMar>
              <w:top w:w="96" w:type="dxa"/>
              <w:left w:w="0" w:type="dxa"/>
              <w:bottom w:w="0" w:type="dxa"/>
              <w:right w:w="360" w:type="dxa"/>
            </w:tcMar>
            <w:hideMark/>
          </w:tcPr>
          <w:p w14:paraId="5674EBD6" w14:textId="77777777" w:rsidR="00391592" w:rsidRPr="00391592" w:rsidRDefault="00391592" w:rsidP="00391592">
            <w:r w:rsidRPr="00391592">
              <w:t>AKE 3.5</w:t>
            </w:r>
          </w:p>
        </w:tc>
        <w:tc>
          <w:tcPr>
            <w:tcW w:w="3373" w:type="pct"/>
            <w:tcMar>
              <w:top w:w="96" w:type="dxa"/>
              <w:left w:w="0" w:type="dxa"/>
              <w:bottom w:w="0" w:type="dxa"/>
              <w:right w:w="360" w:type="dxa"/>
            </w:tcMar>
            <w:hideMark/>
          </w:tcPr>
          <w:p w14:paraId="5E885E49" w14:textId="77777777" w:rsidR="00391592" w:rsidRPr="00391592" w:rsidRDefault="00000000" w:rsidP="00391592">
            <w:hyperlink r:id="rId53" w:history="1">
              <w:proofErr w:type="spellStart"/>
              <w:r w:rsidR="00391592" w:rsidRPr="00391592">
                <w:rPr>
                  <w:rStyle w:val="Hyperlink"/>
                </w:rPr>
                <w:t>Metal</w:t>
              </w:r>
              <w:proofErr w:type="spellEnd"/>
              <w:r w:rsidR="00391592" w:rsidRPr="00391592">
                <w:rPr>
                  <w:rStyle w:val="Hyperlink"/>
                </w:rPr>
                <w:t xml:space="preserve"> Halide </w:t>
              </w:r>
              <w:proofErr w:type="spellStart"/>
              <w:r w:rsidR="00391592" w:rsidRPr="00391592">
                <w:rPr>
                  <w:rStyle w:val="Hyperlink"/>
                </w:rPr>
                <w:t>Perovskites</w:t>
              </w:r>
              <w:proofErr w:type="spellEnd"/>
              <w:r w:rsidR="00391592" w:rsidRPr="00391592">
                <w:rPr>
                  <w:rStyle w:val="Hyperlink"/>
                </w:rPr>
                <w:t xml:space="preserve"> </w:t>
              </w:r>
              <w:proofErr w:type="spellStart"/>
              <w:r w:rsidR="00391592" w:rsidRPr="00391592">
                <w:rPr>
                  <w:rStyle w:val="Hyperlink"/>
                </w:rPr>
                <w:t>as</w:t>
              </w:r>
              <w:proofErr w:type="spellEnd"/>
              <w:r w:rsidR="00391592" w:rsidRPr="00391592">
                <w:rPr>
                  <w:rStyle w:val="Hyperlink"/>
                </w:rPr>
                <w:t xml:space="preserve"> </w:t>
              </w:r>
              <w:proofErr w:type="spellStart"/>
              <w:r w:rsidR="00391592" w:rsidRPr="00391592">
                <w:rPr>
                  <w:rStyle w:val="Hyperlink"/>
                </w:rPr>
                <w:t>anode</w:t>
              </w:r>
              <w:proofErr w:type="spellEnd"/>
              <w:r w:rsidR="00391592" w:rsidRPr="00391592">
                <w:rPr>
                  <w:rStyle w:val="Hyperlink"/>
                </w:rPr>
                <w:t xml:space="preserve"> </w:t>
              </w:r>
              <w:proofErr w:type="spellStart"/>
              <w:r w:rsidR="00391592" w:rsidRPr="00391592">
                <w:rPr>
                  <w:rStyle w:val="Hyperlink"/>
                </w:rPr>
                <w:t>materials</w:t>
              </w:r>
              <w:proofErr w:type="spellEnd"/>
              <w:r w:rsidR="00391592" w:rsidRPr="00391592">
                <w:rPr>
                  <w:rStyle w:val="Hyperlink"/>
                </w:rPr>
                <w:t xml:space="preserve"> in hybrid </w:t>
              </w:r>
              <w:proofErr w:type="spellStart"/>
              <w:r w:rsidR="00391592" w:rsidRPr="00391592">
                <w:rPr>
                  <w:rStyle w:val="Hyperlink"/>
                </w:rPr>
                <w:t>organic</w:t>
              </w:r>
              <w:proofErr w:type="spellEnd"/>
              <w:r w:rsidR="00391592" w:rsidRPr="00391592">
                <w:rPr>
                  <w:rStyle w:val="Hyperlink"/>
                </w:rPr>
                <w:t xml:space="preserve"> </w:t>
              </w:r>
              <w:proofErr w:type="spellStart"/>
              <w:r w:rsidR="00391592" w:rsidRPr="00391592">
                <w:rPr>
                  <w:rStyle w:val="Hyperlink"/>
                </w:rPr>
                <w:t>inorganic</w:t>
              </w:r>
              <w:proofErr w:type="spellEnd"/>
              <w:r w:rsidR="00391592" w:rsidRPr="00391592">
                <w:rPr>
                  <w:rStyle w:val="Hyperlink"/>
                </w:rPr>
                <w:t xml:space="preserve"> </w:t>
              </w:r>
              <w:proofErr w:type="spellStart"/>
              <w:r w:rsidR="00391592" w:rsidRPr="00391592">
                <w:rPr>
                  <w:rStyle w:val="Hyperlink"/>
                </w:rPr>
                <w:t>lithium</w:t>
              </w:r>
              <w:proofErr w:type="spellEnd"/>
              <w:r w:rsidR="00391592" w:rsidRPr="00391592">
                <w:rPr>
                  <w:rStyle w:val="Hyperlink"/>
                </w:rPr>
                <w:t xml:space="preserve"> </w:t>
              </w:r>
              <w:proofErr w:type="spellStart"/>
              <w:r w:rsidR="00391592" w:rsidRPr="00391592">
                <w:rPr>
                  <w:rStyle w:val="Hyperlink"/>
                </w:rPr>
                <w:t>ion</w:t>
              </w:r>
              <w:proofErr w:type="spellEnd"/>
              <w:r w:rsidR="00391592" w:rsidRPr="00391592">
                <w:rPr>
                  <w:rStyle w:val="Hyperlink"/>
                </w:rPr>
                <w:t xml:space="preserve"> </w:t>
              </w:r>
              <w:proofErr w:type="spellStart"/>
              <w:r w:rsidR="00391592" w:rsidRPr="00391592">
                <w:rPr>
                  <w:rStyle w:val="Hyperlink"/>
                </w:rPr>
                <w:t>batteries</w:t>
              </w:r>
              <w:proofErr w:type="spellEnd"/>
            </w:hyperlink>
            <w:r w:rsidR="00391592" w:rsidRPr="00391592">
              <w:t> — •Tom Wickenhäuser, </w:t>
            </w:r>
            <w:proofErr w:type="spellStart"/>
            <w:r w:rsidR="00391592" w:rsidRPr="00391592">
              <w:t>Shangpu</w:t>
            </w:r>
            <w:proofErr w:type="spellEnd"/>
            <w:r w:rsidR="00391592" w:rsidRPr="00391592">
              <w:t xml:space="preserve"> Liu, Lennart Singer, Felix </w:t>
            </w:r>
            <w:proofErr w:type="spellStart"/>
            <w:r w:rsidR="00391592" w:rsidRPr="00391592">
              <w:t>Deschler</w:t>
            </w:r>
            <w:proofErr w:type="spellEnd"/>
            <w:r w:rsidR="00391592" w:rsidRPr="00391592">
              <w:t>, and Rüdiger Klingeler</w:t>
            </w:r>
          </w:p>
        </w:tc>
      </w:tr>
      <w:tr w:rsidR="00391592" w:rsidRPr="003C1CAD" w14:paraId="0023873F" w14:textId="77777777" w:rsidTr="00EB46C4">
        <w:trPr>
          <w:tblCellSpacing w:w="15" w:type="dxa"/>
        </w:trPr>
        <w:tc>
          <w:tcPr>
            <w:tcW w:w="288" w:type="pct"/>
            <w:tcMar>
              <w:top w:w="96" w:type="dxa"/>
              <w:left w:w="0" w:type="dxa"/>
              <w:bottom w:w="0" w:type="dxa"/>
              <w:right w:w="360" w:type="dxa"/>
            </w:tcMar>
            <w:hideMark/>
          </w:tcPr>
          <w:p w14:paraId="0668E61C" w14:textId="77777777" w:rsidR="00391592" w:rsidRPr="00391592" w:rsidRDefault="00391592" w:rsidP="00391592"/>
        </w:tc>
        <w:tc>
          <w:tcPr>
            <w:tcW w:w="4663" w:type="pct"/>
            <w:gridSpan w:val="3"/>
            <w:tcMar>
              <w:top w:w="96" w:type="dxa"/>
              <w:left w:w="0" w:type="dxa"/>
              <w:bottom w:w="0" w:type="dxa"/>
              <w:right w:w="360" w:type="dxa"/>
            </w:tcMar>
            <w:hideMark/>
          </w:tcPr>
          <w:p w14:paraId="1175D4EC" w14:textId="77777777" w:rsidR="00391592" w:rsidRPr="00391592" w:rsidRDefault="00391592" w:rsidP="00391592">
            <w:proofErr w:type="spellStart"/>
            <w:r w:rsidRPr="00391592">
              <w:rPr>
                <w:b/>
                <w:bCs/>
              </w:rPr>
              <w:t>Metal</w:t>
            </w:r>
            <w:proofErr w:type="spellEnd"/>
            <w:r w:rsidRPr="00391592">
              <w:rPr>
                <w:b/>
                <w:bCs/>
              </w:rPr>
              <w:t xml:space="preserve"> Halide </w:t>
            </w:r>
            <w:proofErr w:type="spellStart"/>
            <w:r w:rsidRPr="00391592">
              <w:rPr>
                <w:b/>
                <w:bCs/>
              </w:rPr>
              <w:t>Perovskites</w:t>
            </w:r>
            <w:proofErr w:type="spellEnd"/>
            <w:r w:rsidRPr="00391592">
              <w:rPr>
                <w:b/>
                <w:bCs/>
              </w:rPr>
              <w:t xml:space="preserve"> </w:t>
            </w:r>
            <w:proofErr w:type="spellStart"/>
            <w:r w:rsidRPr="00391592">
              <w:rPr>
                <w:b/>
                <w:bCs/>
              </w:rPr>
              <w:t>as</w:t>
            </w:r>
            <w:proofErr w:type="spellEnd"/>
            <w:r w:rsidRPr="00391592">
              <w:rPr>
                <w:b/>
                <w:bCs/>
              </w:rPr>
              <w:t xml:space="preserve"> </w:t>
            </w:r>
            <w:proofErr w:type="spellStart"/>
            <w:r w:rsidRPr="00391592">
              <w:rPr>
                <w:b/>
                <w:bCs/>
              </w:rPr>
              <w:t>anode</w:t>
            </w:r>
            <w:proofErr w:type="spellEnd"/>
            <w:r w:rsidRPr="00391592">
              <w:rPr>
                <w:b/>
                <w:bCs/>
              </w:rPr>
              <w:t xml:space="preserve"> </w:t>
            </w:r>
            <w:proofErr w:type="spellStart"/>
            <w:r w:rsidRPr="00391592">
              <w:rPr>
                <w:b/>
                <w:bCs/>
              </w:rPr>
              <w:t>materials</w:t>
            </w:r>
            <w:proofErr w:type="spellEnd"/>
            <w:r w:rsidRPr="00391592">
              <w:rPr>
                <w:b/>
                <w:bCs/>
              </w:rPr>
              <w:t xml:space="preserve"> in hybrid </w:t>
            </w:r>
            <w:proofErr w:type="spellStart"/>
            <w:r w:rsidRPr="00391592">
              <w:rPr>
                <w:b/>
                <w:bCs/>
              </w:rPr>
              <w:t>organic</w:t>
            </w:r>
            <w:proofErr w:type="spellEnd"/>
            <w:r w:rsidRPr="00391592">
              <w:rPr>
                <w:b/>
                <w:bCs/>
              </w:rPr>
              <w:t xml:space="preserve"> </w:t>
            </w:r>
            <w:proofErr w:type="spellStart"/>
            <w:r w:rsidRPr="00391592">
              <w:rPr>
                <w:b/>
                <w:bCs/>
              </w:rPr>
              <w:t>inorganic</w:t>
            </w:r>
            <w:proofErr w:type="spellEnd"/>
            <w:r w:rsidRPr="00391592">
              <w:rPr>
                <w:b/>
                <w:bCs/>
              </w:rPr>
              <w:t xml:space="preserve"> </w:t>
            </w:r>
            <w:proofErr w:type="spellStart"/>
            <w:r w:rsidRPr="00391592">
              <w:rPr>
                <w:b/>
                <w:bCs/>
              </w:rPr>
              <w:t>lithium</w:t>
            </w:r>
            <w:proofErr w:type="spellEnd"/>
            <w:r w:rsidRPr="00391592">
              <w:rPr>
                <w:b/>
                <w:bCs/>
              </w:rPr>
              <w:t xml:space="preserve"> </w:t>
            </w:r>
            <w:proofErr w:type="spellStart"/>
            <w:r w:rsidRPr="00391592">
              <w:rPr>
                <w:b/>
                <w:bCs/>
              </w:rPr>
              <w:t>ion</w:t>
            </w:r>
            <w:proofErr w:type="spellEnd"/>
            <w:r w:rsidRPr="00391592">
              <w:rPr>
                <w:b/>
                <w:bCs/>
              </w:rPr>
              <w:t xml:space="preserve"> </w:t>
            </w:r>
            <w:proofErr w:type="spellStart"/>
            <w:r w:rsidRPr="00391592">
              <w:rPr>
                <w:b/>
                <w:bCs/>
              </w:rPr>
              <w:t>batteries</w:t>
            </w:r>
            <w:proofErr w:type="spellEnd"/>
            <w:r w:rsidRPr="00391592">
              <w:t xml:space="preserve"> — •Tom </w:t>
            </w:r>
            <w:proofErr w:type="spellStart"/>
            <w:r w:rsidRPr="00391592">
              <w:t>Wickenhäuser</w:t>
            </w:r>
            <w:r w:rsidRPr="00391592">
              <w:rPr>
                <w:vertAlign w:val="superscript"/>
              </w:rPr>
              <w:t>1</w:t>
            </w:r>
            <w:proofErr w:type="spellEnd"/>
            <w:r w:rsidRPr="00391592">
              <w:t>, </w:t>
            </w:r>
            <w:proofErr w:type="spellStart"/>
            <w:r w:rsidRPr="00391592">
              <w:t>Shangpu</w:t>
            </w:r>
            <w:proofErr w:type="spellEnd"/>
            <w:r w:rsidRPr="00391592">
              <w:t xml:space="preserve"> </w:t>
            </w:r>
            <w:proofErr w:type="spellStart"/>
            <w:r w:rsidRPr="00391592">
              <w:t>Liu</w:t>
            </w:r>
            <w:r w:rsidRPr="00391592">
              <w:rPr>
                <w:vertAlign w:val="superscript"/>
              </w:rPr>
              <w:t>2</w:t>
            </w:r>
            <w:proofErr w:type="spellEnd"/>
            <w:r w:rsidRPr="00391592">
              <w:t xml:space="preserve">, Lennart </w:t>
            </w:r>
            <w:proofErr w:type="spellStart"/>
            <w:r w:rsidRPr="00391592">
              <w:t>Singer</w:t>
            </w:r>
            <w:r w:rsidRPr="00391592">
              <w:rPr>
                <w:vertAlign w:val="superscript"/>
              </w:rPr>
              <w:t>1</w:t>
            </w:r>
            <w:proofErr w:type="spellEnd"/>
            <w:r w:rsidRPr="00391592">
              <w:t xml:space="preserve">, Felix </w:t>
            </w:r>
            <w:proofErr w:type="spellStart"/>
            <w:r w:rsidRPr="00391592">
              <w:t>Deschler</w:t>
            </w:r>
            <w:r w:rsidRPr="00391592">
              <w:rPr>
                <w:vertAlign w:val="superscript"/>
              </w:rPr>
              <w:t>2</w:t>
            </w:r>
            <w:proofErr w:type="spellEnd"/>
            <w:r w:rsidRPr="00391592">
              <w:t xml:space="preserve">, and Rüdiger </w:t>
            </w:r>
            <w:proofErr w:type="spellStart"/>
            <w:r w:rsidRPr="00391592">
              <w:t>Klingeler</w:t>
            </w:r>
            <w:r w:rsidRPr="00391592">
              <w:rPr>
                <w:vertAlign w:val="superscript"/>
              </w:rPr>
              <w:t>1</w:t>
            </w:r>
            <w:proofErr w:type="spellEnd"/>
            <w:r w:rsidRPr="00391592">
              <w:t> — </w:t>
            </w:r>
            <w:proofErr w:type="spellStart"/>
            <w:r w:rsidRPr="00391592">
              <w:rPr>
                <w:vertAlign w:val="superscript"/>
              </w:rPr>
              <w:t>1</w:t>
            </w:r>
            <w:r w:rsidRPr="00391592">
              <w:t>Kirchhoff</w:t>
            </w:r>
            <w:proofErr w:type="spellEnd"/>
            <w:r w:rsidRPr="00391592">
              <w:t xml:space="preserve"> Institute </w:t>
            </w:r>
            <w:proofErr w:type="spellStart"/>
            <w:r w:rsidRPr="00391592">
              <w:t>for</w:t>
            </w:r>
            <w:proofErr w:type="spellEnd"/>
            <w:r w:rsidRPr="00391592">
              <w:t xml:space="preserve"> Physics, Heidelberg, Germany — </w:t>
            </w:r>
            <w:proofErr w:type="spellStart"/>
            <w:r w:rsidRPr="00391592">
              <w:rPr>
                <w:vertAlign w:val="superscript"/>
              </w:rPr>
              <w:t>2</w:t>
            </w:r>
            <w:r w:rsidRPr="00391592">
              <w:t>Physikalisch</w:t>
            </w:r>
            <w:proofErr w:type="spellEnd"/>
            <w:r w:rsidRPr="00391592">
              <w:t>-Chemisches Institut, Heidelberg, Germany</w:t>
            </w:r>
          </w:p>
          <w:p w14:paraId="70762983" w14:textId="77777777" w:rsidR="00391592" w:rsidRPr="00391592" w:rsidRDefault="00391592" w:rsidP="00391592">
            <w:pPr>
              <w:rPr>
                <w:lang w:val="en-US"/>
              </w:rPr>
            </w:pPr>
            <w:r w:rsidRPr="00391592">
              <w:rPr>
                <w:lang w:val="en-US"/>
              </w:rPr>
              <w:t xml:space="preserve">We report on the </w:t>
            </w:r>
            <w:proofErr w:type="spellStart"/>
            <w:r w:rsidRPr="00391592">
              <w:rPr>
                <w:lang w:val="en-US"/>
              </w:rPr>
              <w:t>characterisation</w:t>
            </w:r>
            <w:proofErr w:type="spellEnd"/>
            <w:r w:rsidRPr="00391592">
              <w:rPr>
                <w:lang w:val="en-US"/>
              </w:rPr>
              <w:t xml:space="preserve"> of metal halide perovskites as electrode materials in hybrid organic-inorganic lithium-ion batteries. </w:t>
            </w:r>
            <w:proofErr w:type="gramStart"/>
            <w:r w:rsidRPr="00391592">
              <w:rPr>
                <w:lang w:val="en-US"/>
              </w:rPr>
              <w:t xml:space="preserve">In particular, </w:t>
            </w:r>
            <w:proofErr w:type="spellStart"/>
            <w:r w:rsidRPr="00391592">
              <w:rPr>
                <w:lang w:val="en-US"/>
              </w:rPr>
              <w:t>MAPbBr</w:t>
            </w:r>
            <w:r w:rsidRPr="00391592">
              <w:rPr>
                <w:vertAlign w:val="subscript"/>
                <w:lang w:val="en-US"/>
              </w:rPr>
              <w:t>3</w:t>
            </w:r>
            <w:proofErr w:type="spellEnd"/>
            <w:proofErr w:type="gramEnd"/>
            <w:r w:rsidRPr="00391592">
              <w:rPr>
                <w:lang w:val="en-US"/>
              </w:rPr>
              <w:t xml:space="preserve">, one dimensional </w:t>
            </w:r>
            <w:proofErr w:type="spellStart"/>
            <w:r w:rsidRPr="00391592">
              <w:rPr>
                <w:lang w:val="en-US"/>
              </w:rPr>
              <w:t>EAPbI</w:t>
            </w:r>
            <w:r w:rsidRPr="00391592">
              <w:rPr>
                <w:vertAlign w:val="subscript"/>
                <w:lang w:val="en-US"/>
              </w:rPr>
              <w:t>3</w:t>
            </w:r>
            <w:proofErr w:type="spellEnd"/>
            <w:r w:rsidRPr="00391592">
              <w:rPr>
                <w:lang w:val="en-US"/>
              </w:rPr>
              <w:t xml:space="preserve"> and two lead-free perovskites </w:t>
            </w:r>
            <w:proofErr w:type="spellStart"/>
            <w:r w:rsidRPr="00391592">
              <w:rPr>
                <w:lang w:val="en-US"/>
              </w:rPr>
              <w:t>CsMnBr</w:t>
            </w:r>
            <w:r w:rsidRPr="00391592">
              <w:rPr>
                <w:vertAlign w:val="subscript"/>
                <w:lang w:val="en-US"/>
              </w:rPr>
              <w:t>3</w:t>
            </w:r>
            <w:proofErr w:type="spellEnd"/>
            <w:r w:rsidRPr="00391592">
              <w:rPr>
                <w:lang w:val="en-US"/>
              </w:rPr>
              <w:t xml:space="preserve"> and </w:t>
            </w:r>
            <w:proofErr w:type="spellStart"/>
            <w:r w:rsidRPr="00391592">
              <w:rPr>
                <w:lang w:val="en-US"/>
              </w:rPr>
              <w:t>EA</w:t>
            </w:r>
            <w:r w:rsidRPr="00391592">
              <w:rPr>
                <w:vertAlign w:val="subscript"/>
                <w:lang w:val="en-US"/>
              </w:rPr>
              <w:t>4</w:t>
            </w:r>
            <w:r w:rsidRPr="00391592">
              <w:rPr>
                <w:lang w:val="en-US"/>
              </w:rPr>
              <w:t>Bi</w:t>
            </w:r>
            <w:r w:rsidRPr="00391592">
              <w:rPr>
                <w:vertAlign w:val="subscript"/>
                <w:lang w:val="en-US"/>
              </w:rPr>
              <w:t>2</w:t>
            </w:r>
            <w:r w:rsidRPr="00391592">
              <w:rPr>
                <w:lang w:val="en-US"/>
              </w:rPr>
              <w:t>Br</w:t>
            </w:r>
            <w:r w:rsidRPr="00391592">
              <w:rPr>
                <w:vertAlign w:val="subscript"/>
                <w:lang w:val="en-US"/>
              </w:rPr>
              <w:t>10</w:t>
            </w:r>
            <w:proofErr w:type="spellEnd"/>
            <w:r w:rsidRPr="00391592">
              <w:rPr>
                <w:lang w:val="en-US"/>
              </w:rPr>
              <w:t xml:space="preserve"> are investigated as anode material for lithium-ion batteries. Cyclic voltammetry as well as galvanostatic cycling measurements were performed to elucidate the electrochemical reaction mechanism with a special focus on the ionic and electronic transport characteristics. Additional investigations on the influence of different electrolytes on the electrochemical performance revealed an improved cycling stability for </w:t>
            </w:r>
            <w:proofErr w:type="spellStart"/>
            <w:r w:rsidRPr="00391592">
              <w:rPr>
                <w:lang w:val="en-US"/>
              </w:rPr>
              <w:t>1M</w:t>
            </w:r>
            <w:proofErr w:type="spellEnd"/>
            <w:r w:rsidRPr="00391592">
              <w:rPr>
                <w:lang w:val="en-US"/>
              </w:rPr>
              <w:t xml:space="preserve"> </w:t>
            </w:r>
            <w:proofErr w:type="spellStart"/>
            <w:r w:rsidRPr="00391592">
              <w:rPr>
                <w:lang w:val="en-US"/>
              </w:rPr>
              <w:t>LiTFSI</w:t>
            </w:r>
            <w:proofErr w:type="spellEnd"/>
            <w:r w:rsidRPr="00391592">
              <w:rPr>
                <w:lang w:val="en-US"/>
              </w:rPr>
              <w:t xml:space="preserve"> in DOL/</w:t>
            </w:r>
            <w:proofErr w:type="spellStart"/>
            <w:r w:rsidRPr="00391592">
              <w:rPr>
                <w:lang w:val="en-US"/>
              </w:rPr>
              <w:t>DME</w:t>
            </w:r>
            <w:proofErr w:type="spellEnd"/>
            <w:r w:rsidRPr="00391592">
              <w:rPr>
                <w:lang w:val="en-US"/>
              </w:rPr>
              <w:t xml:space="preserve"> (1:1) compared to </w:t>
            </w:r>
            <w:proofErr w:type="spellStart"/>
            <w:r w:rsidRPr="00391592">
              <w:rPr>
                <w:lang w:val="en-US"/>
              </w:rPr>
              <w:t>1M</w:t>
            </w:r>
            <w:proofErr w:type="spellEnd"/>
            <w:r w:rsidRPr="00391592">
              <w:rPr>
                <w:lang w:val="en-US"/>
              </w:rPr>
              <w:t xml:space="preserve"> </w:t>
            </w:r>
            <w:proofErr w:type="spellStart"/>
            <w:r w:rsidRPr="00391592">
              <w:rPr>
                <w:lang w:val="en-US"/>
              </w:rPr>
              <w:t>LiPF</w:t>
            </w:r>
            <w:r w:rsidRPr="00391592">
              <w:rPr>
                <w:vertAlign w:val="subscript"/>
                <w:lang w:val="en-US"/>
              </w:rPr>
              <w:t>6</w:t>
            </w:r>
            <w:proofErr w:type="spellEnd"/>
            <w:r w:rsidRPr="00391592">
              <w:rPr>
                <w:lang w:val="en-US"/>
              </w:rPr>
              <w:t xml:space="preserve"> in EC/DMC (1:1). In the context of these </w:t>
            </w:r>
            <w:proofErr w:type="gramStart"/>
            <w:r w:rsidRPr="00391592">
              <w:rPr>
                <w:lang w:val="en-US"/>
              </w:rPr>
              <w:t>studies;</w:t>
            </w:r>
            <w:proofErr w:type="gramEnd"/>
            <w:r w:rsidRPr="00391592">
              <w:rPr>
                <w:lang w:val="en-US"/>
              </w:rPr>
              <w:t xml:space="preserve"> promising first cycle capacities of 560 </w:t>
            </w:r>
            <w:proofErr w:type="spellStart"/>
            <w:r w:rsidRPr="00391592">
              <w:rPr>
                <w:lang w:val="en-US"/>
              </w:rPr>
              <w:t>mAh</w:t>
            </w:r>
            <w:proofErr w:type="spellEnd"/>
            <w:r w:rsidRPr="00391592">
              <w:rPr>
                <w:lang w:val="en-US"/>
              </w:rPr>
              <w:t xml:space="preserve"> g</w:t>
            </w:r>
            <w:r w:rsidRPr="00391592">
              <w:rPr>
                <w:vertAlign w:val="superscript"/>
                <w:lang w:val="en-US"/>
              </w:rPr>
              <w:t>−1</w:t>
            </w:r>
            <w:r w:rsidRPr="00391592">
              <w:rPr>
                <w:lang w:val="en-US"/>
              </w:rPr>
              <w:t xml:space="preserve"> for </w:t>
            </w:r>
            <w:proofErr w:type="spellStart"/>
            <w:r w:rsidRPr="00391592">
              <w:rPr>
                <w:lang w:val="en-US"/>
              </w:rPr>
              <w:t>MAPbBr</w:t>
            </w:r>
            <w:r w:rsidRPr="00391592">
              <w:rPr>
                <w:vertAlign w:val="subscript"/>
                <w:lang w:val="en-US"/>
              </w:rPr>
              <w:t>3</w:t>
            </w:r>
            <w:proofErr w:type="spellEnd"/>
            <w:r w:rsidRPr="00391592">
              <w:rPr>
                <w:lang w:val="en-US"/>
              </w:rPr>
              <w:t xml:space="preserve">, 440 </w:t>
            </w:r>
            <w:proofErr w:type="spellStart"/>
            <w:r w:rsidRPr="00391592">
              <w:rPr>
                <w:lang w:val="en-US"/>
              </w:rPr>
              <w:t>mAh</w:t>
            </w:r>
            <w:proofErr w:type="spellEnd"/>
            <w:r w:rsidRPr="00391592">
              <w:rPr>
                <w:lang w:val="en-US"/>
              </w:rPr>
              <w:t xml:space="preserve"> g</w:t>
            </w:r>
            <w:r w:rsidRPr="00391592">
              <w:rPr>
                <w:vertAlign w:val="superscript"/>
                <w:lang w:val="en-US"/>
              </w:rPr>
              <w:t>−1</w:t>
            </w:r>
            <w:r w:rsidRPr="00391592">
              <w:rPr>
                <w:lang w:val="en-US"/>
              </w:rPr>
              <w:t xml:space="preserve"> for </w:t>
            </w:r>
            <w:proofErr w:type="spellStart"/>
            <w:r w:rsidRPr="00391592">
              <w:rPr>
                <w:lang w:val="en-US"/>
              </w:rPr>
              <w:t>EAPbI</w:t>
            </w:r>
            <w:r w:rsidRPr="00391592">
              <w:rPr>
                <w:vertAlign w:val="subscript"/>
                <w:lang w:val="en-US"/>
              </w:rPr>
              <w:t>3</w:t>
            </w:r>
            <w:proofErr w:type="spellEnd"/>
            <w:r w:rsidRPr="00391592">
              <w:rPr>
                <w:lang w:val="en-US"/>
              </w:rPr>
              <w:t xml:space="preserve">, 330 </w:t>
            </w:r>
            <w:proofErr w:type="spellStart"/>
            <w:r w:rsidRPr="00391592">
              <w:rPr>
                <w:lang w:val="en-US"/>
              </w:rPr>
              <w:t>mAh</w:t>
            </w:r>
            <w:proofErr w:type="spellEnd"/>
            <w:r w:rsidRPr="00391592">
              <w:rPr>
                <w:lang w:val="en-US"/>
              </w:rPr>
              <w:t xml:space="preserve"> g</w:t>
            </w:r>
            <w:r w:rsidRPr="00391592">
              <w:rPr>
                <w:vertAlign w:val="superscript"/>
                <w:lang w:val="en-US"/>
              </w:rPr>
              <w:t>−1</w:t>
            </w:r>
            <w:r w:rsidRPr="00391592">
              <w:rPr>
                <w:lang w:val="en-US"/>
              </w:rPr>
              <w:t xml:space="preserve"> for </w:t>
            </w:r>
            <w:proofErr w:type="spellStart"/>
            <w:r w:rsidRPr="00391592">
              <w:rPr>
                <w:lang w:val="en-US"/>
              </w:rPr>
              <w:t>EA</w:t>
            </w:r>
            <w:r w:rsidRPr="00391592">
              <w:rPr>
                <w:vertAlign w:val="subscript"/>
                <w:lang w:val="en-US"/>
              </w:rPr>
              <w:t>4</w:t>
            </w:r>
            <w:r w:rsidRPr="00391592">
              <w:rPr>
                <w:lang w:val="en-US"/>
              </w:rPr>
              <w:t>Bi</w:t>
            </w:r>
            <w:r w:rsidRPr="00391592">
              <w:rPr>
                <w:vertAlign w:val="subscript"/>
                <w:lang w:val="en-US"/>
              </w:rPr>
              <w:t>2</w:t>
            </w:r>
            <w:r w:rsidRPr="00391592">
              <w:rPr>
                <w:lang w:val="en-US"/>
              </w:rPr>
              <w:t>Br</w:t>
            </w:r>
            <w:r w:rsidRPr="00391592">
              <w:rPr>
                <w:vertAlign w:val="subscript"/>
                <w:lang w:val="en-US"/>
              </w:rPr>
              <w:t>10</w:t>
            </w:r>
            <w:proofErr w:type="spellEnd"/>
            <w:r w:rsidRPr="00391592">
              <w:rPr>
                <w:lang w:val="en-US"/>
              </w:rPr>
              <w:t xml:space="preserve"> and 201 </w:t>
            </w:r>
            <w:proofErr w:type="spellStart"/>
            <w:r w:rsidRPr="00391592">
              <w:rPr>
                <w:lang w:val="en-US"/>
              </w:rPr>
              <w:t>mAh</w:t>
            </w:r>
            <w:proofErr w:type="spellEnd"/>
            <w:r w:rsidRPr="00391592">
              <w:rPr>
                <w:lang w:val="en-US"/>
              </w:rPr>
              <w:t xml:space="preserve"> g</w:t>
            </w:r>
            <w:r w:rsidRPr="00391592">
              <w:rPr>
                <w:vertAlign w:val="superscript"/>
                <w:lang w:val="en-US"/>
              </w:rPr>
              <w:t>−1</w:t>
            </w:r>
            <w:r w:rsidRPr="00391592">
              <w:rPr>
                <w:lang w:val="en-US"/>
              </w:rPr>
              <w:t xml:space="preserve"> for </w:t>
            </w:r>
            <w:proofErr w:type="spellStart"/>
            <w:r w:rsidRPr="00391592">
              <w:rPr>
                <w:lang w:val="en-US"/>
              </w:rPr>
              <w:t>CsMnBr</w:t>
            </w:r>
            <w:r w:rsidRPr="00391592">
              <w:rPr>
                <w:vertAlign w:val="subscript"/>
                <w:lang w:val="en-US"/>
              </w:rPr>
              <w:t>3</w:t>
            </w:r>
            <w:proofErr w:type="spellEnd"/>
            <w:r w:rsidRPr="00391592">
              <w:rPr>
                <w:lang w:val="en-US"/>
              </w:rPr>
              <w:t> were achieved.</w:t>
            </w:r>
          </w:p>
        </w:tc>
      </w:tr>
      <w:tr w:rsidR="00391592" w:rsidRPr="003C1CAD" w14:paraId="2C0CA6C1" w14:textId="77777777" w:rsidTr="00EB46C4">
        <w:trPr>
          <w:tblCellSpacing w:w="15" w:type="dxa"/>
        </w:trPr>
        <w:tc>
          <w:tcPr>
            <w:tcW w:w="288" w:type="pct"/>
            <w:tcMar>
              <w:top w:w="96" w:type="dxa"/>
              <w:left w:w="0" w:type="dxa"/>
              <w:bottom w:w="0" w:type="dxa"/>
              <w:right w:w="360" w:type="dxa"/>
            </w:tcMar>
            <w:hideMark/>
          </w:tcPr>
          <w:p w14:paraId="6E082AB7" w14:textId="6972A8CE" w:rsidR="00391592" w:rsidRPr="00391592" w:rsidRDefault="00391592" w:rsidP="00391592">
            <w:r w:rsidRPr="00391592">
              <w:rPr>
                <w:noProof/>
              </w:rPr>
              <w:drawing>
                <wp:inline distT="0" distB="0" distL="0" distR="0" wp14:anchorId="207ACA08" wp14:editId="2D27C30E">
                  <wp:extent cx="152400" cy="152400"/>
                  <wp:effectExtent l="0" t="0" r="0" b="0"/>
                  <wp:docPr id="1191790293" name="Grafik 23" descr="Ein Bild, das Kreis, Symbol, Logo, Design enthält.&#10;&#10;Automatisch generierte Beschreibu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90293" name="Grafik 23" descr="Ein Bild, das Kreis, Symbol, Logo, Design enthält.&#10;&#10;Automatisch generierte Beschreibung">
                            <a:hlinkClick r:id="rId54"/>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46" w:type="pct"/>
            <w:noWrap/>
            <w:tcMar>
              <w:top w:w="96" w:type="dxa"/>
              <w:left w:w="0" w:type="dxa"/>
              <w:bottom w:w="0" w:type="dxa"/>
              <w:right w:w="360" w:type="dxa"/>
            </w:tcMar>
            <w:hideMark/>
          </w:tcPr>
          <w:p w14:paraId="4A5B9C7A" w14:textId="77777777" w:rsidR="00391592" w:rsidRPr="00391592" w:rsidRDefault="00391592" w:rsidP="00391592">
            <w:r w:rsidRPr="00391592">
              <w:t>12:00</w:t>
            </w:r>
          </w:p>
        </w:tc>
        <w:tc>
          <w:tcPr>
            <w:tcW w:w="1290" w:type="dxa"/>
            <w:noWrap/>
            <w:tcMar>
              <w:top w:w="96" w:type="dxa"/>
              <w:left w:w="0" w:type="dxa"/>
              <w:bottom w:w="0" w:type="dxa"/>
              <w:right w:w="360" w:type="dxa"/>
            </w:tcMar>
            <w:hideMark/>
          </w:tcPr>
          <w:p w14:paraId="378ECF0F" w14:textId="77777777" w:rsidR="00391592" w:rsidRPr="00391592" w:rsidRDefault="00391592" w:rsidP="00391592">
            <w:r w:rsidRPr="00391592">
              <w:t>AKE 3.6</w:t>
            </w:r>
          </w:p>
        </w:tc>
        <w:tc>
          <w:tcPr>
            <w:tcW w:w="3373" w:type="pct"/>
            <w:tcMar>
              <w:top w:w="96" w:type="dxa"/>
              <w:left w:w="0" w:type="dxa"/>
              <w:bottom w:w="0" w:type="dxa"/>
              <w:right w:w="360" w:type="dxa"/>
            </w:tcMar>
            <w:hideMark/>
          </w:tcPr>
          <w:p w14:paraId="7CAA4B03" w14:textId="77777777" w:rsidR="00391592" w:rsidRPr="00391592" w:rsidRDefault="00000000" w:rsidP="00391592">
            <w:pPr>
              <w:rPr>
                <w:lang w:val="en-US"/>
              </w:rPr>
            </w:pPr>
            <w:hyperlink r:id="rId55" w:history="1">
              <w:r w:rsidR="00391592" w:rsidRPr="00391592">
                <w:rPr>
                  <w:rStyle w:val="Hyperlink"/>
                  <w:lang w:val="en-US"/>
                </w:rPr>
                <w:t>Application of the Miller cycle to the diesel engine to improve its environmental performance</w:t>
              </w:r>
            </w:hyperlink>
            <w:r w:rsidR="00391592" w:rsidRPr="00391592">
              <w:rPr>
                <w:lang w:val="en-US"/>
              </w:rPr>
              <w:t xml:space="preserve"> — •Yuriy </w:t>
            </w:r>
            <w:proofErr w:type="spellStart"/>
            <w:r w:rsidR="00391592" w:rsidRPr="00391592">
              <w:rPr>
                <w:lang w:val="en-US"/>
              </w:rPr>
              <w:t>Kochanov</w:t>
            </w:r>
            <w:proofErr w:type="spellEnd"/>
          </w:p>
        </w:tc>
      </w:tr>
      <w:tr w:rsidR="00391592" w:rsidRPr="003C1CAD" w14:paraId="6172FCC1" w14:textId="77777777" w:rsidTr="00EB46C4">
        <w:trPr>
          <w:tblCellSpacing w:w="15" w:type="dxa"/>
        </w:trPr>
        <w:tc>
          <w:tcPr>
            <w:tcW w:w="288" w:type="pct"/>
            <w:tcMar>
              <w:top w:w="96" w:type="dxa"/>
              <w:left w:w="0" w:type="dxa"/>
              <w:bottom w:w="0" w:type="dxa"/>
              <w:right w:w="360" w:type="dxa"/>
            </w:tcMar>
            <w:hideMark/>
          </w:tcPr>
          <w:p w14:paraId="7C660CE8" w14:textId="77777777" w:rsidR="00391592" w:rsidRPr="00391592" w:rsidRDefault="00391592" w:rsidP="00391592">
            <w:pPr>
              <w:rPr>
                <w:lang w:val="en-US"/>
              </w:rPr>
            </w:pPr>
          </w:p>
        </w:tc>
        <w:tc>
          <w:tcPr>
            <w:tcW w:w="4663" w:type="pct"/>
            <w:gridSpan w:val="3"/>
            <w:tcMar>
              <w:top w:w="96" w:type="dxa"/>
              <w:left w:w="0" w:type="dxa"/>
              <w:bottom w:w="0" w:type="dxa"/>
              <w:right w:w="360" w:type="dxa"/>
            </w:tcMar>
            <w:hideMark/>
          </w:tcPr>
          <w:p w14:paraId="2B259016" w14:textId="77777777" w:rsidR="00391592" w:rsidRPr="00391592" w:rsidRDefault="00391592" w:rsidP="00391592">
            <w:pPr>
              <w:rPr>
                <w:lang w:val="en-US"/>
              </w:rPr>
            </w:pPr>
            <w:r w:rsidRPr="00391592">
              <w:rPr>
                <w:b/>
                <w:bCs/>
                <w:lang w:val="en-US"/>
              </w:rPr>
              <w:t>Application of the Miller cycle to the diesel engine to improve its environmental performance</w:t>
            </w:r>
            <w:r w:rsidRPr="00391592">
              <w:rPr>
                <w:lang w:val="en-US"/>
              </w:rPr>
              <w:t xml:space="preserve"> — •Yuriy </w:t>
            </w:r>
            <w:proofErr w:type="spellStart"/>
            <w:r w:rsidRPr="00391592">
              <w:rPr>
                <w:lang w:val="en-US"/>
              </w:rPr>
              <w:t>Kochanov</w:t>
            </w:r>
            <w:proofErr w:type="spellEnd"/>
            <w:r w:rsidRPr="00391592">
              <w:rPr>
                <w:lang w:val="en-US"/>
              </w:rPr>
              <w:t> — Russia, Moscow</w:t>
            </w:r>
          </w:p>
          <w:p w14:paraId="5B157694" w14:textId="77777777" w:rsidR="00391592" w:rsidRPr="00391592" w:rsidRDefault="00391592" w:rsidP="00391592">
            <w:pPr>
              <w:rPr>
                <w:lang w:val="en-US"/>
              </w:rPr>
            </w:pPr>
            <w:r w:rsidRPr="00391592">
              <w:rPr>
                <w:lang w:val="en-US"/>
              </w:rPr>
              <w:t xml:space="preserve">This work demonstrates the application of the Miller cycle to the diesel engine </w:t>
            </w:r>
            <w:proofErr w:type="spellStart"/>
            <w:r w:rsidRPr="00391592">
              <w:rPr>
                <w:lang w:val="en-US"/>
              </w:rPr>
              <w:t>12FB26,5</w:t>
            </w:r>
            <w:proofErr w:type="spellEnd"/>
            <w:r w:rsidRPr="00391592">
              <w:rPr>
                <w:lang w:val="en-US"/>
              </w:rPr>
              <w:t xml:space="preserve">/31 to improve its environmental performance. Two methods of implementing the Miller cycle, "early" and "late," are investigated, and the choice of one method is justified. </w:t>
            </w:r>
            <w:proofErr w:type="spellStart"/>
            <w:r w:rsidRPr="00391592">
              <w:rPr>
                <w:lang w:val="en-US"/>
              </w:rPr>
              <w:t>IVC</w:t>
            </w:r>
            <w:proofErr w:type="spellEnd"/>
            <w:r w:rsidRPr="00391592">
              <w:rPr>
                <w:lang w:val="en-US"/>
              </w:rPr>
              <w:t xml:space="preserve"> and EVO angles are selected to implement the chosen method of the Miller cycle. The problem of reducing engine power during the implementation of the Miller cycle is solved by compensating with increasing of the degree of pressure increase in the compressor. Gas recirculation is applied in conjunction with the Miller cycle. Gas distribution phases, degree of pressure increase in the compressor, and degree of recirculation are selected using numerical modeling in a one-dimensional approach. All parameters are selected through single-factor or two-factor optimization based on emission of harmful oxides and particulate matter. As a result of this work, the engine's operating process meets environmental requirements for emissions of NOx, </w:t>
            </w:r>
            <w:proofErr w:type="spellStart"/>
            <w:r w:rsidRPr="00391592">
              <w:rPr>
                <w:lang w:val="en-US"/>
              </w:rPr>
              <w:t>SOx</w:t>
            </w:r>
            <w:proofErr w:type="spellEnd"/>
            <w:r w:rsidRPr="00391592">
              <w:rPr>
                <w:lang w:val="en-US"/>
              </w:rPr>
              <w:t>, CO2, and emission of solid particles. This research was made in the Strategic Academic Leadership program.</w:t>
            </w:r>
          </w:p>
        </w:tc>
      </w:tr>
      <w:tr w:rsidR="00391592" w:rsidRPr="003C1CAD" w14:paraId="43211B97" w14:textId="77777777" w:rsidTr="00EB46C4">
        <w:trPr>
          <w:tblCellSpacing w:w="15" w:type="dxa"/>
        </w:trPr>
        <w:tc>
          <w:tcPr>
            <w:tcW w:w="288" w:type="pct"/>
            <w:tcMar>
              <w:top w:w="96" w:type="dxa"/>
              <w:left w:w="0" w:type="dxa"/>
              <w:bottom w:w="0" w:type="dxa"/>
              <w:right w:w="360" w:type="dxa"/>
            </w:tcMar>
            <w:hideMark/>
          </w:tcPr>
          <w:p w14:paraId="13577506" w14:textId="558644EB" w:rsidR="00391592" w:rsidRPr="00391592" w:rsidRDefault="00391592" w:rsidP="00391592">
            <w:r w:rsidRPr="00391592">
              <w:rPr>
                <w:noProof/>
              </w:rPr>
              <w:drawing>
                <wp:inline distT="0" distB="0" distL="0" distR="0" wp14:anchorId="602982FE" wp14:editId="46736F6B">
                  <wp:extent cx="152400" cy="152400"/>
                  <wp:effectExtent l="0" t="0" r="0" b="0"/>
                  <wp:docPr id="1020221809" name="Grafik 21" descr="Ein Bild, das Kreis, Symbol, Logo, Design enthält.&#10;&#10;Automatisch generierte Beschreibu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21809" name="Grafik 21" descr="Ein Bild, das Kreis, Symbol, Logo, Design enthält.&#10;&#10;Automatisch generierte Beschreibung">
                            <a:hlinkClick r:id="rId56"/>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46" w:type="pct"/>
            <w:noWrap/>
            <w:tcMar>
              <w:top w:w="96" w:type="dxa"/>
              <w:left w:w="0" w:type="dxa"/>
              <w:bottom w:w="0" w:type="dxa"/>
              <w:right w:w="360" w:type="dxa"/>
            </w:tcMar>
            <w:hideMark/>
          </w:tcPr>
          <w:p w14:paraId="1D3112CA" w14:textId="77777777" w:rsidR="00391592" w:rsidRPr="00391592" w:rsidRDefault="00391592" w:rsidP="00391592">
            <w:r w:rsidRPr="00391592">
              <w:t>12:00</w:t>
            </w:r>
          </w:p>
        </w:tc>
        <w:tc>
          <w:tcPr>
            <w:tcW w:w="1290" w:type="dxa"/>
            <w:noWrap/>
            <w:tcMar>
              <w:top w:w="96" w:type="dxa"/>
              <w:left w:w="0" w:type="dxa"/>
              <w:bottom w:w="0" w:type="dxa"/>
              <w:right w:w="360" w:type="dxa"/>
            </w:tcMar>
            <w:hideMark/>
          </w:tcPr>
          <w:p w14:paraId="7EAA9E47" w14:textId="77777777" w:rsidR="00391592" w:rsidRPr="00391592" w:rsidRDefault="00391592" w:rsidP="00391592">
            <w:r w:rsidRPr="00391592">
              <w:t>AKE 3.7</w:t>
            </w:r>
          </w:p>
        </w:tc>
        <w:tc>
          <w:tcPr>
            <w:tcW w:w="3373" w:type="pct"/>
            <w:tcMar>
              <w:top w:w="96" w:type="dxa"/>
              <w:left w:w="0" w:type="dxa"/>
              <w:bottom w:w="0" w:type="dxa"/>
              <w:right w:w="360" w:type="dxa"/>
            </w:tcMar>
            <w:hideMark/>
          </w:tcPr>
          <w:p w14:paraId="72871442" w14:textId="77777777" w:rsidR="00391592" w:rsidRPr="00391592" w:rsidRDefault="00000000" w:rsidP="00391592">
            <w:pPr>
              <w:rPr>
                <w:lang w:val="en-US"/>
              </w:rPr>
            </w:pPr>
            <w:hyperlink r:id="rId57" w:history="1">
              <w:r w:rsidR="00391592" w:rsidRPr="00391592">
                <w:rPr>
                  <w:rStyle w:val="Hyperlink"/>
                  <w:lang w:val="en-US"/>
                </w:rPr>
                <w:t xml:space="preserve">Simulation of noise dampening during construction of offshore </w:t>
              </w:r>
              <w:proofErr w:type="spellStart"/>
              <w:r w:rsidR="00391592" w:rsidRPr="00391592">
                <w:rPr>
                  <w:rStyle w:val="Hyperlink"/>
                  <w:lang w:val="en-US"/>
                </w:rPr>
                <w:t>windparks</w:t>
              </w:r>
              <w:proofErr w:type="spellEnd"/>
            </w:hyperlink>
            <w:r w:rsidR="00391592" w:rsidRPr="00391592">
              <w:rPr>
                <w:lang w:val="en-US"/>
              </w:rPr>
              <w:t xml:space="preserve"> — •Tobias Bollig, Angela </w:t>
            </w:r>
            <w:proofErr w:type="spellStart"/>
            <w:r w:rsidR="00391592" w:rsidRPr="00391592">
              <w:rPr>
                <w:lang w:val="en-US"/>
              </w:rPr>
              <w:t>Thränhardt</w:t>
            </w:r>
            <w:proofErr w:type="spellEnd"/>
            <w:r w:rsidR="00391592" w:rsidRPr="00391592">
              <w:rPr>
                <w:lang w:val="en-US"/>
              </w:rPr>
              <w:t xml:space="preserve">, Thomas </w:t>
            </w:r>
            <w:proofErr w:type="spellStart"/>
            <w:r w:rsidR="00391592" w:rsidRPr="00391592">
              <w:rPr>
                <w:lang w:val="en-US"/>
              </w:rPr>
              <w:t>Blaudeck</w:t>
            </w:r>
            <w:proofErr w:type="spellEnd"/>
            <w:r w:rsidR="00391592" w:rsidRPr="00391592">
              <w:rPr>
                <w:lang w:val="en-US"/>
              </w:rPr>
              <w:t>, and Fabian Teichert</w:t>
            </w:r>
          </w:p>
        </w:tc>
      </w:tr>
      <w:tr w:rsidR="00391592" w:rsidRPr="003C1CAD" w14:paraId="44D9F041" w14:textId="77777777" w:rsidTr="00EB46C4">
        <w:trPr>
          <w:tblCellSpacing w:w="15" w:type="dxa"/>
        </w:trPr>
        <w:tc>
          <w:tcPr>
            <w:tcW w:w="288" w:type="pct"/>
            <w:tcMar>
              <w:top w:w="96" w:type="dxa"/>
              <w:left w:w="0" w:type="dxa"/>
              <w:bottom w:w="0" w:type="dxa"/>
              <w:right w:w="360" w:type="dxa"/>
            </w:tcMar>
            <w:hideMark/>
          </w:tcPr>
          <w:p w14:paraId="682C542F" w14:textId="77777777" w:rsidR="00391592" w:rsidRPr="00391592" w:rsidRDefault="00391592" w:rsidP="00391592">
            <w:pPr>
              <w:rPr>
                <w:lang w:val="en-US"/>
              </w:rPr>
            </w:pPr>
          </w:p>
        </w:tc>
        <w:tc>
          <w:tcPr>
            <w:tcW w:w="4663" w:type="pct"/>
            <w:gridSpan w:val="3"/>
            <w:tcMar>
              <w:top w:w="96" w:type="dxa"/>
              <w:left w:w="0" w:type="dxa"/>
              <w:bottom w:w="0" w:type="dxa"/>
              <w:right w:w="360" w:type="dxa"/>
            </w:tcMar>
            <w:hideMark/>
          </w:tcPr>
          <w:p w14:paraId="60969797" w14:textId="77777777" w:rsidR="00391592" w:rsidRDefault="00391592" w:rsidP="00391592">
            <w:pPr>
              <w:rPr>
                <w:lang w:val="en-US"/>
              </w:rPr>
            </w:pPr>
            <w:r w:rsidRPr="00391592">
              <w:rPr>
                <w:b/>
                <w:bCs/>
                <w:lang w:val="en-US"/>
              </w:rPr>
              <w:t xml:space="preserve">Simulation of noise dampening during construction of offshore </w:t>
            </w:r>
            <w:proofErr w:type="spellStart"/>
            <w:r w:rsidRPr="00391592">
              <w:rPr>
                <w:b/>
                <w:bCs/>
                <w:lang w:val="en-US"/>
              </w:rPr>
              <w:t>windparks</w:t>
            </w:r>
            <w:proofErr w:type="spellEnd"/>
            <w:r w:rsidRPr="00391592">
              <w:rPr>
                <w:lang w:val="en-US"/>
              </w:rPr>
              <w:t xml:space="preserve"> — •Tobias </w:t>
            </w:r>
            <w:proofErr w:type="spellStart"/>
            <w:r w:rsidRPr="00391592">
              <w:rPr>
                <w:lang w:val="en-US"/>
              </w:rPr>
              <w:t>Bollig</w:t>
            </w:r>
            <w:r w:rsidRPr="00391592">
              <w:rPr>
                <w:vertAlign w:val="superscript"/>
                <w:lang w:val="en-US"/>
              </w:rPr>
              <w:t>1,2</w:t>
            </w:r>
            <w:proofErr w:type="spellEnd"/>
            <w:r w:rsidRPr="00391592">
              <w:rPr>
                <w:lang w:val="en-US"/>
              </w:rPr>
              <w:t xml:space="preserve">, Angela </w:t>
            </w:r>
            <w:proofErr w:type="spellStart"/>
            <w:r w:rsidRPr="00391592">
              <w:rPr>
                <w:lang w:val="en-US"/>
              </w:rPr>
              <w:t>Thränhardt</w:t>
            </w:r>
            <w:r w:rsidRPr="00391592">
              <w:rPr>
                <w:vertAlign w:val="superscript"/>
                <w:lang w:val="en-US"/>
              </w:rPr>
              <w:t>1</w:t>
            </w:r>
            <w:proofErr w:type="spellEnd"/>
            <w:r w:rsidRPr="00391592">
              <w:rPr>
                <w:lang w:val="en-US"/>
              </w:rPr>
              <w:t xml:space="preserve">, Thomas </w:t>
            </w:r>
            <w:proofErr w:type="spellStart"/>
            <w:r w:rsidRPr="00391592">
              <w:rPr>
                <w:lang w:val="en-US"/>
              </w:rPr>
              <w:t>Blaudeck</w:t>
            </w:r>
            <w:r w:rsidRPr="00391592">
              <w:rPr>
                <w:vertAlign w:val="superscript"/>
                <w:lang w:val="en-US"/>
              </w:rPr>
              <w:t>2,4</w:t>
            </w:r>
            <w:proofErr w:type="spellEnd"/>
            <w:r w:rsidRPr="00391592">
              <w:rPr>
                <w:lang w:val="en-US"/>
              </w:rPr>
              <w:t xml:space="preserve">, and Fabian </w:t>
            </w:r>
            <w:proofErr w:type="spellStart"/>
            <w:r w:rsidRPr="00391592">
              <w:rPr>
                <w:lang w:val="en-US"/>
              </w:rPr>
              <w:t>Teichert</w:t>
            </w:r>
            <w:r w:rsidRPr="00391592">
              <w:rPr>
                <w:vertAlign w:val="superscript"/>
                <w:lang w:val="en-US"/>
              </w:rPr>
              <w:t>2,3,4</w:t>
            </w:r>
            <w:proofErr w:type="spellEnd"/>
            <w:r w:rsidRPr="00391592">
              <w:rPr>
                <w:lang w:val="en-US"/>
              </w:rPr>
              <w:t> —</w:t>
            </w:r>
          </w:p>
          <w:p w14:paraId="5D58DEAD" w14:textId="04AF9FEA" w:rsidR="00391592" w:rsidRDefault="00391592" w:rsidP="00391592">
            <w:pPr>
              <w:rPr>
                <w:sz w:val="16"/>
                <w:szCs w:val="16"/>
                <w:lang w:val="en-US"/>
              </w:rPr>
            </w:pPr>
            <w:r w:rsidRPr="00391592">
              <w:rPr>
                <w:sz w:val="16"/>
                <w:szCs w:val="16"/>
                <w:lang w:val="en-US"/>
              </w:rPr>
              <w:t> </w:t>
            </w:r>
            <w:proofErr w:type="spellStart"/>
            <w:r w:rsidRPr="00391592">
              <w:rPr>
                <w:sz w:val="16"/>
                <w:szCs w:val="16"/>
                <w:vertAlign w:val="superscript"/>
                <w:lang w:val="en-US"/>
              </w:rPr>
              <w:t>1</w:t>
            </w:r>
            <w:r w:rsidRPr="00391592">
              <w:rPr>
                <w:sz w:val="16"/>
                <w:szCs w:val="16"/>
                <w:lang w:val="en-US"/>
              </w:rPr>
              <w:t>Institute</w:t>
            </w:r>
            <w:proofErr w:type="spellEnd"/>
            <w:r w:rsidRPr="00391592">
              <w:rPr>
                <w:sz w:val="16"/>
                <w:szCs w:val="16"/>
                <w:lang w:val="en-US"/>
              </w:rPr>
              <w:t xml:space="preserve"> of Physics, Chemnitz University of Technology, Chemnitz, Germany — </w:t>
            </w:r>
            <w:proofErr w:type="spellStart"/>
            <w:r w:rsidRPr="00391592">
              <w:rPr>
                <w:sz w:val="16"/>
                <w:szCs w:val="16"/>
                <w:vertAlign w:val="superscript"/>
                <w:lang w:val="en-US"/>
              </w:rPr>
              <w:t>2</w:t>
            </w:r>
            <w:r w:rsidRPr="00391592">
              <w:rPr>
                <w:sz w:val="16"/>
                <w:szCs w:val="16"/>
                <w:lang w:val="en-US"/>
              </w:rPr>
              <w:t>Center</w:t>
            </w:r>
            <w:proofErr w:type="spellEnd"/>
            <w:r w:rsidRPr="00391592">
              <w:rPr>
                <w:sz w:val="16"/>
                <w:szCs w:val="16"/>
                <w:lang w:val="en-US"/>
              </w:rPr>
              <w:t xml:space="preserve"> for Materials, </w:t>
            </w:r>
            <w:proofErr w:type="gramStart"/>
            <w:r w:rsidRPr="00391592">
              <w:rPr>
                <w:sz w:val="16"/>
                <w:szCs w:val="16"/>
                <w:lang w:val="en-US"/>
              </w:rPr>
              <w:t>Architectures</w:t>
            </w:r>
            <w:proofErr w:type="gramEnd"/>
            <w:r w:rsidRPr="00391592">
              <w:rPr>
                <w:sz w:val="16"/>
                <w:szCs w:val="16"/>
                <w:lang w:val="en-US"/>
              </w:rPr>
              <w:t xml:space="preserve"> and Integration of Nanomembranes (MAIN), Chemnitz </w:t>
            </w:r>
            <w:proofErr w:type="spellStart"/>
            <w:r w:rsidRPr="00391592">
              <w:rPr>
                <w:sz w:val="16"/>
                <w:szCs w:val="16"/>
                <w:lang w:val="en-US"/>
              </w:rPr>
              <w:t>Universitity</w:t>
            </w:r>
            <w:proofErr w:type="spellEnd"/>
            <w:r w:rsidRPr="00391592">
              <w:rPr>
                <w:sz w:val="16"/>
                <w:szCs w:val="16"/>
                <w:lang w:val="en-US"/>
              </w:rPr>
              <w:t xml:space="preserve"> of Technology, Chemnitz, Germany — </w:t>
            </w:r>
            <w:proofErr w:type="spellStart"/>
            <w:r w:rsidRPr="00391592">
              <w:rPr>
                <w:sz w:val="16"/>
                <w:szCs w:val="16"/>
                <w:vertAlign w:val="superscript"/>
                <w:lang w:val="en-US"/>
              </w:rPr>
              <w:t>3</w:t>
            </w:r>
            <w:r w:rsidRPr="00391592">
              <w:rPr>
                <w:sz w:val="16"/>
                <w:szCs w:val="16"/>
                <w:lang w:val="en-US"/>
              </w:rPr>
              <w:t>Center</w:t>
            </w:r>
            <w:proofErr w:type="spellEnd"/>
            <w:r w:rsidRPr="00391592">
              <w:rPr>
                <w:sz w:val="16"/>
                <w:szCs w:val="16"/>
                <w:lang w:val="en-US"/>
              </w:rPr>
              <w:t xml:space="preserve"> for </w:t>
            </w:r>
            <w:proofErr w:type="spellStart"/>
            <w:r w:rsidRPr="00391592">
              <w:rPr>
                <w:sz w:val="16"/>
                <w:szCs w:val="16"/>
                <w:lang w:val="en-US"/>
              </w:rPr>
              <w:t>Microtechnologies</w:t>
            </w:r>
            <w:proofErr w:type="spellEnd"/>
            <w:r w:rsidRPr="00391592">
              <w:rPr>
                <w:sz w:val="16"/>
                <w:szCs w:val="16"/>
                <w:lang w:val="en-US"/>
              </w:rPr>
              <w:t>, Chemnitz University of Technology, Chemnitz, Germany — </w:t>
            </w:r>
            <w:proofErr w:type="spellStart"/>
            <w:r w:rsidRPr="00391592">
              <w:rPr>
                <w:sz w:val="16"/>
                <w:szCs w:val="16"/>
                <w:vertAlign w:val="superscript"/>
                <w:lang w:val="en-US"/>
              </w:rPr>
              <w:t>4</w:t>
            </w:r>
            <w:r w:rsidRPr="00391592">
              <w:rPr>
                <w:sz w:val="16"/>
                <w:szCs w:val="16"/>
                <w:lang w:val="en-US"/>
              </w:rPr>
              <w:t>Fraunhofer</w:t>
            </w:r>
            <w:proofErr w:type="spellEnd"/>
            <w:r w:rsidRPr="00391592">
              <w:rPr>
                <w:sz w:val="16"/>
                <w:szCs w:val="16"/>
                <w:lang w:val="en-US"/>
              </w:rPr>
              <w:t xml:space="preserve"> Institute for Electronic Nano Systems (ENAS), Chemnitz, Germany</w:t>
            </w:r>
          </w:p>
          <w:p w14:paraId="68BACE74" w14:textId="77777777" w:rsidR="00391592" w:rsidRPr="00391592" w:rsidRDefault="00391592" w:rsidP="00391592">
            <w:pPr>
              <w:rPr>
                <w:sz w:val="16"/>
                <w:szCs w:val="16"/>
                <w:lang w:val="en-US"/>
              </w:rPr>
            </w:pPr>
          </w:p>
          <w:p w14:paraId="35637DB2" w14:textId="77777777" w:rsidR="00391592" w:rsidRPr="00391592" w:rsidRDefault="00391592" w:rsidP="00391592">
            <w:pPr>
              <w:rPr>
                <w:lang w:val="en-US"/>
              </w:rPr>
            </w:pPr>
            <w:r w:rsidRPr="00391592">
              <w:rPr>
                <w:lang w:val="en-US"/>
              </w:rPr>
              <w:t xml:space="preserve">Because of the growing relevance of offshore </w:t>
            </w:r>
            <w:proofErr w:type="spellStart"/>
            <w:r w:rsidRPr="00391592">
              <w:rPr>
                <w:lang w:val="en-US"/>
              </w:rPr>
              <w:t>windparks</w:t>
            </w:r>
            <w:proofErr w:type="spellEnd"/>
            <w:r w:rsidRPr="00391592">
              <w:rPr>
                <w:lang w:val="en-US"/>
              </w:rPr>
              <w:t xml:space="preserve"> due to the "</w:t>
            </w:r>
            <w:proofErr w:type="spellStart"/>
            <w:r w:rsidRPr="00391592">
              <w:rPr>
                <w:lang w:val="en-US"/>
              </w:rPr>
              <w:t>Energiewende</w:t>
            </w:r>
            <w:proofErr w:type="spellEnd"/>
            <w:r w:rsidRPr="00391592">
              <w:rPr>
                <w:lang w:val="en-US"/>
              </w:rPr>
              <w:t xml:space="preserve">", the regulations of building these giant wind turbines are more important than ever. The construction of the foundations of the wind turbines creates huge sound emissions for the surrounding marine life. To dampen these negative effects, there are different ways to reduce the sound emission during construction. This work presents a new simulation approach of the sound dampening characteristics of the </w:t>
            </w:r>
            <w:proofErr w:type="gramStart"/>
            <w:r w:rsidRPr="00391592">
              <w:rPr>
                <w:lang w:val="en-US"/>
              </w:rPr>
              <w:t>most commonly used</w:t>
            </w:r>
            <w:proofErr w:type="gramEnd"/>
            <w:r w:rsidRPr="00391592">
              <w:rPr>
                <w:lang w:val="en-US"/>
              </w:rPr>
              <w:t xml:space="preserve"> technique called big bubble curtain. We simulate them using the finite element method in the </w:t>
            </w:r>
            <w:proofErr w:type="gramStart"/>
            <w:r w:rsidRPr="00391592">
              <w:rPr>
                <w:lang w:val="en-US"/>
              </w:rPr>
              <w:t>open source</w:t>
            </w:r>
            <w:proofErr w:type="gramEnd"/>
            <w:r w:rsidRPr="00391592">
              <w:rPr>
                <w:lang w:val="en-US"/>
              </w:rPr>
              <w:t xml:space="preserve"> software "Elmer". Previous investigations focused on 3D simulations of the bubble curtain as a heterogeneous medium. We implement a numerical calculation based on the theory of the effective medium to deliver an extremely time-efficient method, especially considering a wide range of parameters to be investigated in future projects. First results show that </w:t>
            </w:r>
            <w:proofErr w:type="spellStart"/>
            <w:r w:rsidRPr="00391592">
              <w:rPr>
                <w:lang w:val="en-US"/>
              </w:rPr>
              <w:t>2D</w:t>
            </w:r>
            <w:proofErr w:type="spellEnd"/>
            <w:r w:rsidRPr="00391592">
              <w:rPr>
                <w:lang w:val="en-US"/>
              </w:rPr>
              <w:t xml:space="preserve"> simulations achieve roughly the same sound dampening as is available from data sheets of industrial used bubble curtains.</w:t>
            </w:r>
          </w:p>
        </w:tc>
      </w:tr>
      <w:tr w:rsidR="00391592" w:rsidRPr="003C1CAD" w14:paraId="73F47262" w14:textId="77777777" w:rsidTr="00EB46C4">
        <w:trPr>
          <w:tblCellSpacing w:w="15" w:type="dxa"/>
        </w:trPr>
        <w:tc>
          <w:tcPr>
            <w:tcW w:w="288" w:type="pct"/>
            <w:tcMar>
              <w:top w:w="96" w:type="dxa"/>
              <w:left w:w="0" w:type="dxa"/>
              <w:bottom w:w="0" w:type="dxa"/>
              <w:right w:w="360" w:type="dxa"/>
            </w:tcMar>
            <w:hideMark/>
          </w:tcPr>
          <w:p w14:paraId="77E2B83D" w14:textId="1CC10866" w:rsidR="00391592" w:rsidRPr="00391592" w:rsidRDefault="00391592" w:rsidP="00391592">
            <w:r w:rsidRPr="00391592">
              <w:rPr>
                <w:noProof/>
              </w:rPr>
              <w:drawing>
                <wp:inline distT="0" distB="0" distL="0" distR="0" wp14:anchorId="2FF6F189" wp14:editId="5B8F1FBA">
                  <wp:extent cx="152400" cy="152400"/>
                  <wp:effectExtent l="0" t="0" r="0" b="0"/>
                  <wp:docPr id="1378380071" name="Grafik 19" descr="Ein Bild, das Kreis, Symbol, Logo, Design enthält.&#10;&#10;Automatisch generierte Beschreibu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80071" name="Grafik 19" descr="Ein Bild, das Kreis, Symbol, Logo, Design enthält.&#10;&#10;Automatisch generierte Beschreibung">
                            <a:hlinkClick r:id="rId58"/>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46" w:type="pct"/>
            <w:noWrap/>
            <w:tcMar>
              <w:top w:w="96" w:type="dxa"/>
              <w:left w:w="0" w:type="dxa"/>
              <w:bottom w:w="0" w:type="dxa"/>
              <w:right w:w="360" w:type="dxa"/>
            </w:tcMar>
            <w:hideMark/>
          </w:tcPr>
          <w:p w14:paraId="4FC2F911" w14:textId="77777777" w:rsidR="00391592" w:rsidRPr="00391592" w:rsidRDefault="00391592" w:rsidP="00391592">
            <w:r w:rsidRPr="00391592">
              <w:t>12:00</w:t>
            </w:r>
          </w:p>
        </w:tc>
        <w:tc>
          <w:tcPr>
            <w:tcW w:w="1290" w:type="dxa"/>
            <w:noWrap/>
            <w:tcMar>
              <w:top w:w="96" w:type="dxa"/>
              <w:left w:w="0" w:type="dxa"/>
              <w:bottom w:w="0" w:type="dxa"/>
              <w:right w:w="360" w:type="dxa"/>
            </w:tcMar>
            <w:hideMark/>
          </w:tcPr>
          <w:p w14:paraId="05D9D33A" w14:textId="77777777" w:rsidR="00391592" w:rsidRPr="00391592" w:rsidRDefault="00391592" w:rsidP="00391592">
            <w:r w:rsidRPr="00391592">
              <w:t>AKE 3.8</w:t>
            </w:r>
          </w:p>
        </w:tc>
        <w:tc>
          <w:tcPr>
            <w:tcW w:w="3373" w:type="pct"/>
            <w:tcMar>
              <w:top w:w="96" w:type="dxa"/>
              <w:left w:w="0" w:type="dxa"/>
              <w:bottom w:w="0" w:type="dxa"/>
              <w:right w:w="360" w:type="dxa"/>
            </w:tcMar>
            <w:hideMark/>
          </w:tcPr>
          <w:p w14:paraId="10890794" w14:textId="77777777" w:rsidR="00391592" w:rsidRPr="00391592" w:rsidRDefault="00000000" w:rsidP="00391592">
            <w:pPr>
              <w:rPr>
                <w:lang w:val="en-US"/>
              </w:rPr>
            </w:pPr>
            <w:hyperlink r:id="rId59" w:history="1">
              <w:r w:rsidR="00391592" w:rsidRPr="00391592">
                <w:rPr>
                  <w:rStyle w:val="Hyperlink"/>
                  <w:lang w:val="en-US"/>
                </w:rPr>
                <w:t>Twist angle-dependent electronic and optical properties of transition metal dichalcogenide (</w:t>
              </w:r>
              <w:proofErr w:type="spellStart"/>
              <w:r w:rsidR="00391592" w:rsidRPr="00391592">
                <w:rPr>
                  <w:rStyle w:val="Hyperlink"/>
                  <w:lang w:val="en-US"/>
                </w:rPr>
                <w:t>TMD</w:t>
              </w:r>
              <w:proofErr w:type="spellEnd"/>
              <w:r w:rsidR="00391592" w:rsidRPr="00391592">
                <w:rPr>
                  <w:rStyle w:val="Hyperlink"/>
                  <w:lang w:val="en-US"/>
                </w:rPr>
                <w:t>) Van der Waals heterostructures</w:t>
              </w:r>
            </w:hyperlink>
            <w:r w:rsidR="00391592" w:rsidRPr="00391592">
              <w:rPr>
                <w:lang w:val="en-US"/>
              </w:rPr>
              <w:t> — •Neelam Gupta, Saurav Sachin, Puja Kumari, Shivani Rani, and Soumya Jyoti Ray</w:t>
            </w:r>
          </w:p>
        </w:tc>
      </w:tr>
      <w:tr w:rsidR="00391592" w:rsidRPr="003C1CAD" w14:paraId="6269942F" w14:textId="77777777" w:rsidTr="00EB46C4">
        <w:trPr>
          <w:tblCellSpacing w:w="15" w:type="dxa"/>
        </w:trPr>
        <w:tc>
          <w:tcPr>
            <w:tcW w:w="288" w:type="pct"/>
            <w:tcMar>
              <w:top w:w="96" w:type="dxa"/>
              <w:left w:w="0" w:type="dxa"/>
              <w:bottom w:w="0" w:type="dxa"/>
              <w:right w:w="360" w:type="dxa"/>
            </w:tcMar>
            <w:hideMark/>
          </w:tcPr>
          <w:p w14:paraId="03D50D98" w14:textId="77777777" w:rsidR="00391592" w:rsidRPr="00391592" w:rsidRDefault="00391592" w:rsidP="00391592">
            <w:pPr>
              <w:rPr>
                <w:lang w:val="en-US"/>
              </w:rPr>
            </w:pPr>
          </w:p>
        </w:tc>
        <w:tc>
          <w:tcPr>
            <w:tcW w:w="4663" w:type="pct"/>
            <w:gridSpan w:val="3"/>
            <w:tcMar>
              <w:top w:w="96" w:type="dxa"/>
              <w:left w:w="0" w:type="dxa"/>
              <w:bottom w:w="0" w:type="dxa"/>
              <w:right w:w="360" w:type="dxa"/>
            </w:tcMar>
            <w:hideMark/>
          </w:tcPr>
          <w:p w14:paraId="370720BB" w14:textId="77777777" w:rsidR="00391592" w:rsidRPr="00391592" w:rsidRDefault="00391592" w:rsidP="00391592">
            <w:pPr>
              <w:rPr>
                <w:lang w:val="en-US"/>
              </w:rPr>
            </w:pPr>
            <w:r w:rsidRPr="00391592">
              <w:rPr>
                <w:b/>
                <w:bCs/>
                <w:lang w:val="en-US"/>
              </w:rPr>
              <w:t>Twist angle-dependent electronic and optical properties of transition metal dichalcogenide (</w:t>
            </w:r>
            <w:proofErr w:type="spellStart"/>
            <w:r w:rsidRPr="00391592">
              <w:rPr>
                <w:b/>
                <w:bCs/>
                <w:lang w:val="en-US"/>
              </w:rPr>
              <w:t>TMD</w:t>
            </w:r>
            <w:proofErr w:type="spellEnd"/>
            <w:r w:rsidRPr="00391592">
              <w:rPr>
                <w:b/>
                <w:bCs/>
                <w:lang w:val="en-US"/>
              </w:rPr>
              <w:t>) Van der Waals heterostructures</w:t>
            </w:r>
            <w:r w:rsidRPr="00391592">
              <w:rPr>
                <w:lang w:val="en-US"/>
              </w:rPr>
              <w:t xml:space="preserve"> — •Neelam Gupta, Saurav Sachin, Puja Kumari, Shivani Rani, and Soumya Jyoti Ray — Department of Physics, Indian Institute of Technology Patna, </w:t>
            </w:r>
            <w:proofErr w:type="spellStart"/>
            <w:r w:rsidRPr="00391592">
              <w:rPr>
                <w:lang w:val="en-US"/>
              </w:rPr>
              <w:t>Bihta</w:t>
            </w:r>
            <w:proofErr w:type="spellEnd"/>
            <w:r w:rsidRPr="00391592">
              <w:rPr>
                <w:lang w:val="en-US"/>
              </w:rPr>
              <w:t xml:space="preserve"> 801106, India</w:t>
            </w:r>
          </w:p>
          <w:p w14:paraId="277F86F8" w14:textId="77777777" w:rsidR="00391592" w:rsidRPr="00391592" w:rsidRDefault="00391592" w:rsidP="00391592">
            <w:pPr>
              <w:rPr>
                <w:lang w:val="en-US"/>
              </w:rPr>
            </w:pPr>
            <w:r w:rsidRPr="00391592">
              <w:rPr>
                <w:lang w:val="en-US"/>
              </w:rPr>
              <w:lastRenderedPageBreak/>
              <w:t>Recent research has focused on transition metal dichalcogenides(</w:t>
            </w:r>
            <w:proofErr w:type="spellStart"/>
            <w:r w:rsidRPr="00391592">
              <w:rPr>
                <w:lang w:val="en-US"/>
              </w:rPr>
              <w:t>TMDs</w:t>
            </w:r>
            <w:proofErr w:type="spellEnd"/>
            <w:r w:rsidRPr="00391592">
              <w:rPr>
                <w:lang w:val="en-US"/>
              </w:rPr>
              <w:t xml:space="preserve">) based heterostructures due to their potential applications in electronics and optoelectronics. This study investigates the impact of twist angles on the electronic, and optical characteristics of vertically stacked heterostructures based on transition metal dichalcogenides, namely </w:t>
            </w:r>
            <w:proofErr w:type="spellStart"/>
            <w:r w:rsidRPr="00391592">
              <w:rPr>
                <w:lang w:val="en-US"/>
              </w:rPr>
              <w:t>MoSe2</w:t>
            </w:r>
            <w:proofErr w:type="spellEnd"/>
            <w:r w:rsidRPr="00391592">
              <w:rPr>
                <w:lang w:val="en-US"/>
              </w:rPr>
              <w:t>/</w:t>
            </w:r>
            <w:proofErr w:type="spellStart"/>
            <w:r w:rsidRPr="00391592">
              <w:rPr>
                <w:lang w:val="en-US"/>
              </w:rPr>
              <w:t>WSe2</w:t>
            </w:r>
            <w:proofErr w:type="spellEnd"/>
            <w:r w:rsidRPr="00391592">
              <w:rPr>
                <w:lang w:val="en-US"/>
              </w:rPr>
              <w:t xml:space="preserve">, </w:t>
            </w:r>
            <w:proofErr w:type="spellStart"/>
            <w:r w:rsidRPr="00391592">
              <w:rPr>
                <w:lang w:val="en-US"/>
              </w:rPr>
              <w:t>WS2</w:t>
            </w:r>
            <w:proofErr w:type="spellEnd"/>
            <w:r w:rsidRPr="00391592">
              <w:rPr>
                <w:lang w:val="en-US"/>
              </w:rPr>
              <w:t>/</w:t>
            </w:r>
            <w:proofErr w:type="spellStart"/>
            <w:r w:rsidRPr="00391592">
              <w:rPr>
                <w:lang w:val="en-US"/>
              </w:rPr>
              <w:t>WSe2</w:t>
            </w:r>
            <w:proofErr w:type="spellEnd"/>
            <w:r w:rsidRPr="00391592">
              <w:rPr>
                <w:lang w:val="en-US"/>
              </w:rPr>
              <w:t xml:space="preserve">, </w:t>
            </w:r>
            <w:proofErr w:type="spellStart"/>
            <w:r w:rsidRPr="00391592">
              <w:rPr>
                <w:lang w:val="en-US"/>
              </w:rPr>
              <w:t>MoSe2</w:t>
            </w:r>
            <w:proofErr w:type="spellEnd"/>
            <w:r w:rsidRPr="00391592">
              <w:rPr>
                <w:lang w:val="en-US"/>
              </w:rPr>
              <w:t>/</w:t>
            </w:r>
            <w:proofErr w:type="spellStart"/>
            <w:r w:rsidRPr="00391592">
              <w:rPr>
                <w:lang w:val="en-US"/>
              </w:rPr>
              <w:t>WS2</w:t>
            </w:r>
            <w:proofErr w:type="spellEnd"/>
            <w:r w:rsidRPr="00391592">
              <w:rPr>
                <w:lang w:val="en-US"/>
              </w:rPr>
              <w:t xml:space="preserve">, and </w:t>
            </w:r>
            <w:proofErr w:type="spellStart"/>
            <w:r w:rsidRPr="00391592">
              <w:rPr>
                <w:lang w:val="en-US"/>
              </w:rPr>
              <w:t>MoS2</w:t>
            </w:r>
            <w:proofErr w:type="spellEnd"/>
            <w:r w:rsidRPr="00391592">
              <w:rPr>
                <w:lang w:val="en-US"/>
              </w:rPr>
              <w:t>/</w:t>
            </w:r>
            <w:proofErr w:type="spellStart"/>
            <w:r w:rsidRPr="00391592">
              <w:rPr>
                <w:lang w:val="en-US"/>
              </w:rPr>
              <w:t>WSe2</w:t>
            </w:r>
            <w:proofErr w:type="spellEnd"/>
            <w:r w:rsidRPr="00391592">
              <w:rPr>
                <w:lang w:val="en-US"/>
              </w:rPr>
              <w:t xml:space="preserve">, and a thorough comparison is done among these heterostructures. The absence of negative frequency in the phonon dispersion curve and low formation energy </w:t>
            </w:r>
            <w:proofErr w:type="gramStart"/>
            <w:r w:rsidRPr="00391592">
              <w:rPr>
                <w:lang w:val="en-US"/>
              </w:rPr>
              <w:t>affirm</w:t>
            </w:r>
            <w:proofErr w:type="gramEnd"/>
            <w:r w:rsidRPr="00391592">
              <w:rPr>
                <w:lang w:val="en-US"/>
              </w:rPr>
              <w:t xml:space="preserve"> their structural and thermodynamic stability. The calculations are performed using the </w:t>
            </w:r>
            <w:proofErr w:type="gramStart"/>
            <w:r w:rsidRPr="00391592">
              <w:rPr>
                <w:lang w:val="en-US"/>
              </w:rPr>
              <w:t>first-principles</w:t>
            </w:r>
            <w:proofErr w:type="gramEnd"/>
            <w:r w:rsidRPr="00391592">
              <w:rPr>
                <w:lang w:val="en-US"/>
              </w:rPr>
              <w:t>- based density functional theory (</w:t>
            </w:r>
            <w:proofErr w:type="spellStart"/>
            <w:r w:rsidRPr="00391592">
              <w:rPr>
                <w:lang w:val="en-US"/>
              </w:rPr>
              <w:t>DFT</w:t>
            </w:r>
            <w:proofErr w:type="spellEnd"/>
            <w:r w:rsidRPr="00391592">
              <w:rPr>
                <w:lang w:val="en-US"/>
              </w:rPr>
              <w:t xml:space="preserve">) considerations. Beautiful </w:t>
            </w:r>
            <w:proofErr w:type="spellStart"/>
            <w:r w:rsidRPr="00391592">
              <w:rPr>
                <w:lang w:val="en-US"/>
              </w:rPr>
              <w:t>Moir'e</w:t>
            </w:r>
            <w:proofErr w:type="spellEnd"/>
            <w:r w:rsidRPr="00391592">
              <w:rPr>
                <w:lang w:val="en-US"/>
              </w:rPr>
              <w:t xml:space="preserve"> patterns are formed due to the relative rotation of the layers </w:t>
            </w:r>
            <w:proofErr w:type="gramStart"/>
            <w:r w:rsidRPr="00391592">
              <w:rPr>
                <w:lang w:val="en-US"/>
              </w:rPr>
              <w:t>as a consequence of</w:t>
            </w:r>
            <w:proofErr w:type="gramEnd"/>
            <w:r w:rsidRPr="00391592">
              <w:rPr>
                <w:lang w:val="en-US"/>
              </w:rPr>
              <w:t xml:space="preserve"> the superposition of the periodic structure of </w:t>
            </w:r>
            <w:proofErr w:type="spellStart"/>
            <w:r w:rsidRPr="00391592">
              <w:rPr>
                <w:lang w:val="en-US"/>
              </w:rPr>
              <w:t>TMDs</w:t>
            </w:r>
            <w:proofErr w:type="spellEnd"/>
            <w:r w:rsidRPr="00391592">
              <w:rPr>
                <w:lang w:val="en-US"/>
              </w:rPr>
              <w:t xml:space="preserve"> on each other. Twist engineering allows the modulation of bandgaps and phase change from direct to indirect band gap semiconductors. The high optical absorption in the visible range spectrum makes these twisted heterostructures promising candidates in photovoltaic applications.</w:t>
            </w:r>
          </w:p>
        </w:tc>
      </w:tr>
      <w:tr w:rsidR="00391592" w:rsidRPr="003C1CAD" w14:paraId="70BD7168" w14:textId="77777777" w:rsidTr="00EB46C4">
        <w:trPr>
          <w:tblCellSpacing w:w="15" w:type="dxa"/>
        </w:trPr>
        <w:tc>
          <w:tcPr>
            <w:tcW w:w="288" w:type="pct"/>
            <w:tcMar>
              <w:top w:w="96" w:type="dxa"/>
              <w:left w:w="0" w:type="dxa"/>
              <w:bottom w:w="0" w:type="dxa"/>
              <w:right w:w="360" w:type="dxa"/>
            </w:tcMar>
            <w:hideMark/>
          </w:tcPr>
          <w:p w14:paraId="0766C2D8" w14:textId="2D0CF67C" w:rsidR="00391592" w:rsidRPr="00391592" w:rsidRDefault="00391592" w:rsidP="00391592">
            <w:r w:rsidRPr="00391592">
              <w:rPr>
                <w:noProof/>
              </w:rPr>
              <w:lastRenderedPageBreak/>
              <w:drawing>
                <wp:inline distT="0" distB="0" distL="0" distR="0" wp14:anchorId="2F614C0A" wp14:editId="56163570">
                  <wp:extent cx="152400" cy="152400"/>
                  <wp:effectExtent l="0" t="0" r="0" b="0"/>
                  <wp:docPr id="2110823331" name="Grafik 17" descr="Ein Bild, das Kreis, Symbol, Logo, Design enthält.&#10;&#10;Automatisch generierte Beschreibu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23331" name="Grafik 17" descr="Ein Bild, das Kreis, Symbol, Logo, Design enthält.&#10;&#10;Automatisch generierte Beschreibung">
                            <a:hlinkClick r:id="rId60"/>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46" w:type="pct"/>
            <w:noWrap/>
            <w:tcMar>
              <w:top w:w="96" w:type="dxa"/>
              <w:left w:w="0" w:type="dxa"/>
              <w:bottom w:w="0" w:type="dxa"/>
              <w:right w:w="360" w:type="dxa"/>
            </w:tcMar>
            <w:hideMark/>
          </w:tcPr>
          <w:p w14:paraId="0C4D7DF0" w14:textId="77777777" w:rsidR="00391592" w:rsidRPr="00391592" w:rsidRDefault="00391592" w:rsidP="00391592">
            <w:r w:rsidRPr="00391592">
              <w:t>12:00</w:t>
            </w:r>
          </w:p>
        </w:tc>
        <w:tc>
          <w:tcPr>
            <w:tcW w:w="1290" w:type="dxa"/>
            <w:noWrap/>
            <w:tcMar>
              <w:top w:w="96" w:type="dxa"/>
              <w:left w:w="0" w:type="dxa"/>
              <w:bottom w:w="0" w:type="dxa"/>
              <w:right w:w="360" w:type="dxa"/>
            </w:tcMar>
            <w:hideMark/>
          </w:tcPr>
          <w:p w14:paraId="13E50CC6" w14:textId="77777777" w:rsidR="00391592" w:rsidRPr="00391592" w:rsidRDefault="00391592" w:rsidP="00391592">
            <w:r w:rsidRPr="00391592">
              <w:t>AKE 3.9</w:t>
            </w:r>
          </w:p>
        </w:tc>
        <w:tc>
          <w:tcPr>
            <w:tcW w:w="3373" w:type="pct"/>
            <w:tcMar>
              <w:top w:w="96" w:type="dxa"/>
              <w:left w:w="0" w:type="dxa"/>
              <w:bottom w:w="0" w:type="dxa"/>
              <w:right w:w="360" w:type="dxa"/>
            </w:tcMar>
            <w:hideMark/>
          </w:tcPr>
          <w:p w14:paraId="5527BE54" w14:textId="77777777" w:rsidR="00391592" w:rsidRPr="00391592" w:rsidRDefault="00000000" w:rsidP="00391592">
            <w:pPr>
              <w:rPr>
                <w:lang w:val="en-US"/>
              </w:rPr>
            </w:pPr>
            <w:hyperlink r:id="rId61" w:history="1">
              <w:r w:rsidR="00391592" w:rsidRPr="00391592">
                <w:rPr>
                  <w:rStyle w:val="Hyperlink"/>
                  <w:lang w:val="en-US"/>
                </w:rPr>
                <w:t>Comparative Study of the Interfacial Stability at the Anode Site in Lithium and Sodium All-Solid-State Batteries Utilizing Density Functional Theory</w:t>
              </w:r>
            </w:hyperlink>
            <w:r w:rsidR="00391592" w:rsidRPr="00391592">
              <w:rPr>
                <w:lang w:val="en-US"/>
              </w:rPr>
              <w:t> — Sebastian Utz and •Doreen Mollenhauer</w:t>
            </w:r>
          </w:p>
        </w:tc>
      </w:tr>
      <w:tr w:rsidR="00391592" w:rsidRPr="003C1CAD" w14:paraId="777662F1" w14:textId="77777777" w:rsidTr="00EB46C4">
        <w:trPr>
          <w:tblCellSpacing w:w="15" w:type="dxa"/>
        </w:trPr>
        <w:tc>
          <w:tcPr>
            <w:tcW w:w="288" w:type="pct"/>
            <w:tcMar>
              <w:top w:w="96" w:type="dxa"/>
              <w:left w:w="0" w:type="dxa"/>
              <w:bottom w:w="0" w:type="dxa"/>
              <w:right w:w="360" w:type="dxa"/>
            </w:tcMar>
            <w:hideMark/>
          </w:tcPr>
          <w:p w14:paraId="2EB49B44" w14:textId="77777777" w:rsidR="00391592" w:rsidRPr="00391592" w:rsidRDefault="00391592" w:rsidP="00391592">
            <w:pPr>
              <w:rPr>
                <w:lang w:val="en-US"/>
              </w:rPr>
            </w:pPr>
          </w:p>
        </w:tc>
        <w:tc>
          <w:tcPr>
            <w:tcW w:w="4663" w:type="pct"/>
            <w:gridSpan w:val="3"/>
            <w:tcMar>
              <w:top w:w="96" w:type="dxa"/>
              <w:left w:w="0" w:type="dxa"/>
              <w:bottom w:w="0" w:type="dxa"/>
              <w:right w:w="360" w:type="dxa"/>
            </w:tcMar>
            <w:hideMark/>
          </w:tcPr>
          <w:p w14:paraId="422A1B6D" w14:textId="77777777" w:rsidR="00391592" w:rsidRPr="00391592" w:rsidRDefault="00391592" w:rsidP="00391592">
            <w:pPr>
              <w:rPr>
                <w:lang w:val="en-US"/>
              </w:rPr>
            </w:pPr>
            <w:r w:rsidRPr="00391592">
              <w:rPr>
                <w:b/>
                <w:bCs/>
                <w:lang w:val="en-US"/>
              </w:rPr>
              <w:t>Comparative Study of the Interfacial Stability at the Anode Site in Lithium and Sodium All-Solid-State Batteries Utilizing Density Functional Theory</w:t>
            </w:r>
            <w:r w:rsidRPr="00391592">
              <w:rPr>
                <w:lang w:val="en-US"/>
              </w:rPr>
              <w:t xml:space="preserve"> — Sebastian </w:t>
            </w:r>
            <w:proofErr w:type="spellStart"/>
            <w:r w:rsidRPr="00391592">
              <w:rPr>
                <w:lang w:val="en-US"/>
              </w:rPr>
              <w:t>Utz</w:t>
            </w:r>
            <w:r w:rsidRPr="00391592">
              <w:rPr>
                <w:vertAlign w:val="superscript"/>
                <w:lang w:val="en-US"/>
              </w:rPr>
              <w:t>1,2</w:t>
            </w:r>
            <w:proofErr w:type="spellEnd"/>
            <w:r w:rsidRPr="00391592">
              <w:rPr>
                <w:lang w:val="en-US"/>
              </w:rPr>
              <w:t xml:space="preserve"> and •Doreen </w:t>
            </w:r>
            <w:proofErr w:type="spellStart"/>
            <w:r w:rsidRPr="00391592">
              <w:rPr>
                <w:lang w:val="en-US"/>
              </w:rPr>
              <w:t>Mollenhauer</w:t>
            </w:r>
            <w:r w:rsidRPr="00391592">
              <w:rPr>
                <w:vertAlign w:val="superscript"/>
                <w:lang w:val="en-US"/>
              </w:rPr>
              <w:t>1,2</w:t>
            </w:r>
            <w:proofErr w:type="spellEnd"/>
            <w:r w:rsidRPr="00391592">
              <w:rPr>
                <w:lang w:val="en-US"/>
              </w:rPr>
              <w:t> — </w:t>
            </w:r>
            <w:proofErr w:type="spellStart"/>
            <w:r w:rsidRPr="00391592">
              <w:rPr>
                <w:vertAlign w:val="superscript"/>
                <w:lang w:val="en-US"/>
              </w:rPr>
              <w:t>1</w:t>
            </w:r>
            <w:r w:rsidRPr="00391592">
              <w:rPr>
                <w:lang w:val="en-US"/>
              </w:rPr>
              <w:t>Institute</w:t>
            </w:r>
            <w:proofErr w:type="spellEnd"/>
            <w:r w:rsidRPr="00391592">
              <w:rPr>
                <w:lang w:val="en-US"/>
              </w:rPr>
              <w:t xml:space="preserve"> of Physical Chemistry, Justus-Liebig University Giessen, Germany — </w:t>
            </w:r>
            <w:proofErr w:type="spellStart"/>
            <w:r w:rsidRPr="00391592">
              <w:rPr>
                <w:vertAlign w:val="superscript"/>
                <w:lang w:val="en-US"/>
              </w:rPr>
              <w:t>2</w:t>
            </w:r>
            <w:r w:rsidRPr="00391592">
              <w:rPr>
                <w:lang w:val="en-US"/>
              </w:rPr>
              <w:t>Center</w:t>
            </w:r>
            <w:proofErr w:type="spellEnd"/>
            <w:r w:rsidRPr="00391592">
              <w:rPr>
                <w:lang w:val="en-US"/>
              </w:rPr>
              <w:t xml:space="preserve"> for Materials Research (</w:t>
            </w:r>
            <w:proofErr w:type="spellStart"/>
            <w:r w:rsidRPr="00391592">
              <w:rPr>
                <w:lang w:val="en-US"/>
              </w:rPr>
              <w:t>LaMa</w:t>
            </w:r>
            <w:proofErr w:type="spellEnd"/>
            <w:r w:rsidRPr="00391592">
              <w:rPr>
                <w:lang w:val="en-US"/>
              </w:rPr>
              <w:t>), Justus-Liebig University Giessen, Germany</w:t>
            </w:r>
          </w:p>
          <w:p w14:paraId="646AFCF0" w14:textId="77777777" w:rsidR="00391592" w:rsidRPr="00391592" w:rsidRDefault="00391592" w:rsidP="00391592">
            <w:pPr>
              <w:rPr>
                <w:lang w:val="en-US"/>
              </w:rPr>
            </w:pPr>
            <w:r w:rsidRPr="00391592">
              <w:rPr>
                <w:lang w:val="en-US"/>
              </w:rPr>
              <w:t>Improving and understanding the stability of the anode/electrolyte interface is one of the key challenges in the design of emerging high energy density batteries. One of these emerging battery types is the all-solid-state battery, which utilizes a lithium metal anode and promises, among other benefits, large improvements in energy density. However, it is particularly difficult to obtain experimental information at the solid/solid anode interface. Here, a theoretical study at density functional theory (</w:t>
            </w:r>
            <w:proofErr w:type="spellStart"/>
            <w:r w:rsidRPr="00391592">
              <w:rPr>
                <w:lang w:val="en-US"/>
              </w:rPr>
              <w:t>DFT</w:t>
            </w:r>
            <w:proofErr w:type="spellEnd"/>
            <w:r w:rsidRPr="00391592">
              <w:rPr>
                <w:lang w:val="en-US"/>
              </w:rPr>
              <w:t>) level of theory has been carried out to investigate the interfacial stability of a high-capacity lithium metal anode in contact with a thiophosphate solid electrolyte and the analogous post-lithium sodium metal system, commonly regarded as a more sustainable alternative. Similarities and differences between the two systems are explored and discussed.</w:t>
            </w:r>
          </w:p>
        </w:tc>
      </w:tr>
      <w:tr w:rsidR="00391592" w:rsidRPr="003C1CAD" w14:paraId="3EDE2E4C" w14:textId="77777777" w:rsidTr="00EB46C4">
        <w:trPr>
          <w:tblCellSpacing w:w="15" w:type="dxa"/>
        </w:trPr>
        <w:tc>
          <w:tcPr>
            <w:tcW w:w="288" w:type="pct"/>
            <w:tcMar>
              <w:top w:w="96" w:type="dxa"/>
              <w:left w:w="0" w:type="dxa"/>
              <w:bottom w:w="0" w:type="dxa"/>
              <w:right w:w="360" w:type="dxa"/>
            </w:tcMar>
            <w:hideMark/>
          </w:tcPr>
          <w:p w14:paraId="13BEBD00" w14:textId="79C543F3" w:rsidR="00391592" w:rsidRPr="00391592" w:rsidRDefault="00391592" w:rsidP="00391592">
            <w:r w:rsidRPr="00391592">
              <w:rPr>
                <w:noProof/>
              </w:rPr>
              <w:drawing>
                <wp:inline distT="0" distB="0" distL="0" distR="0" wp14:anchorId="4AF54CAF" wp14:editId="632411A1">
                  <wp:extent cx="152400" cy="152400"/>
                  <wp:effectExtent l="0" t="0" r="0" b="0"/>
                  <wp:docPr id="1134112257" name="Grafik 15" descr="Ein Bild, das Kreis, Symbol, Logo, Design enthält.&#10;&#10;Automatisch generierte Beschreibun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12257" name="Grafik 15" descr="Ein Bild, das Kreis, Symbol, Logo, Design enthält.&#10;&#10;Automatisch generierte Beschreibung">
                            <a:hlinkClick r:id="rId6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46" w:type="pct"/>
            <w:noWrap/>
            <w:tcMar>
              <w:top w:w="96" w:type="dxa"/>
              <w:left w:w="0" w:type="dxa"/>
              <w:bottom w:w="0" w:type="dxa"/>
              <w:right w:w="360" w:type="dxa"/>
            </w:tcMar>
            <w:hideMark/>
          </w:tcPr>
          <w:p w14:paraId="17656FCF" w14:textId="77777777" w:rsidR="00391592" w:rsidRPr="00391592" w:rsidRDefault="00391592" w:rsidP="00391592">
            <w:r w:rsidRPr="00391592">
              <w:t>12:00</w:t>
            </w:r>
          </w:p>
        </w:tc>
        <w:tc>
          <w:tcPr>
            <w:tcW w:w="1290" w:type="dxa"/>
            <w:noWrap/>
            <w:tcMar>
              <w:top w:w="96" w:type="dxa"/>
              <w:left w:w="0" w:type="dxa"/>
              <w:bottom w:w="0" w:type="dxa"/>
              <w:right w:w="360" w:type="dxa"/>
            </w:tcMar>
            <w:hideMark/>
          </w:tcPr>
          <w:p w14:paraId="297F24A1" w14:textId="77777777" w:rsidR="00391592" w:rsidRPr="00391592" w:rsidRDefault="00391592" w:rsidP="00391592">
            <w:r w:rsidRPr="00391592">
              <w:t>AKE 3.10</w:t>
            </w:r>
          </w:p>
        </w:tc>
        <w:tc>
          <w:tcPr>
            <w:tcW w:w="3373" w:type="pct"/>
            <w:tcMar>
              <w:top w:w="96" w:type="dxa"/>
              <w:left w:w="0" w:type="dxa"/>
              <w:bottom w:w="0" w:type="dxa"/>
              <w:right w:w="360" w:type="dxa"/>
            </w:tcMar>
            <w:hideMark/>
          </w:tcPr>
          <w:p w14:paraId="0DACF275" w14:textId="77777777" w:rsidR="00391592" w:rsidRPr="00391592" w:rsidRDefault="00000000" w:rsidP="00391592">
            <w:pPr>
              <w:rPr>
                <w:lang w:val="en-US"/>
              </w:rPr>
            </w:pPr>
            <w:hyperlink r:id="rId63" w:history="1">
              <w:r w:rsidR="00391592" w:rsidRPr="00391592">
                <w:rPr>
                  <w:rStyle w:val="Hyperlink"/>
                  <w:lang w:val="en-US"/>
                </w:rPr>
                <w:t xml:space="preserve">The stable nature of the decomposition interface in </w:t>
              </w:r>
              <w:proofErr w:type="spellStart"/>
              <w:r w:rsidR="00391592" w:rsidRPr="00391592">
                <w:rPr>
                  <w:rStyle w:val="Hyperlink"/>
                  <w:lang w:val="en-US"/>
                </w:rPr>
                <w:t>LiPON</w:t>
              </w:r>
              <w:proofErr w:type="spellEnd"/>
              <w:r w:rsidR="00391592" w:rsidRPr="00391592">
                <w:rPr>
                  <w:rStyle w:val="Hyperlink"/>
                  <w:lang w:val="en-US"/>
                </w:rPr>
                <w:t xml:space="preserve"> electrolyte with lithium anode</w:t>
              </w:r>
            </w:hyperlink>
            <w:r w:rsidR="00391592" w:rsidRPr="00391592">
              <w:rPr>
                <w:lang w:val="en-US"/>
              </w:rPr>
              <w:t> — •</w:t>
            </w:r>
            <w:proofErr w:type="spellStart"/>
            <w:r w:rsidR="00391592" w:rsidRPr="00391592">
              <w:rPr>
                <w:lang w:val="en-US"/>
              </w:rPr>
              <w:t>Kangli</w:t>
            </w:r>
            <w:proofErr w:type="spellEnd"/>
            <w:r w:rsidR="00391592" w:rsidRPr="00391592">
              <w:rPr>
                <w:lang w:val="en-US"/>
              </w:rPr>
              <w:t xml:space="preserve"> Wang and Doreen Mollenhauer</w:t>
            </w:r>
          </w:p>
        </w:tc>
      </w:tr>
      <w:tr w:rsidR="00391592" w:rsidRPr="003C1CAD" w14:paraId="7F9D7CBA" w14:textId="77777777" w:rsidTr="00EB46C4">
        <w:trPr>
          <w:tblCellSpacing w:w="15" w:type="dxa"/>
        </w:trPr>
        <w:tc>
          <w:tcPr>
            <w:tcW w:w="288" w:type="pct"/>
            <w:tcMar>
              <w:top w:w="96" w:type="dxa"/>
              <w:left w:w="0" w:type="dxa"/>
              <w:bottom w:w="0" w:type="dxa"/>
              <w:right w:w="360" w:type="dxa"/>
            </w:tcMar>
            <w:hideMark/>
          </w:tcPr>
          <w:p w14:paraId="6CA2F17F" w14:textId="77777777" w:rsidR="00391592" w:rsidRPr="00391592" w:rsidRDefault="00391592" w:rsidP="00391592">
            <w:pPr>
              <w:rPr>
                <w:lang w:val="en-US"/>
              </w:rPr>
            </w:pPr>
          </w:p>
        </w:tc>
        <w:tc>
          <w:tcPr>
            <w:tcW w:w="4663" w:type="pct"/>
            <w:gridSpan w:val="3"/>
            <w:tcMar>
              <w:top w:w="96" w:type="dxa"/>
              <w:left w:w="0" w:type="dxa"/>
              <w:bottom w:w="0" w:type="dxa"/>
              <w:right w:w="360" w:type="dxa"/>
            </w:tcMar>
            <w:hideMark/>
          </w:tcPr>
          <w:p w14:paraId="24DA74FE" w14:textId="77777777" w:rsidR="00391592" w:rsidRPr="00EB46C4" w:rsidRDefault="00391592" w:rsidP="00391592">
            <w:pPr>
              <w:rPr>
                <w:lang w:val="en-US"/>
              </w:rPr>
            </w:pPr>
            <w:r w:rsidRPr="00EB46C4">
              <w:rPr>
                <w:b/>
                <w:bCs/>
                <w:lang w:val="en-US"/>
              </w:rPr>
              <w:t xml:space="preserve">The stable nature of the decomposition interface in </w:t>
            </w:r>
            <w:proofErr w:type="spellStart"/>
            <w:r w:rsidRPr="00EB46C4">
              <w:rPr>
                <w:b/>
                <w:bCs/>
                <w:lang w:val="en-US"/>
              </w:rPr>
              <w:t>LiPON</w:t>
            </w:r>
            <w:proofErr w:type="spellEnd"/>
            <w:r w:rsidRPr="00EB46C4">
              <w:rPr>
                <w:b/>
                <w:bCs/>
                <w:lang w:val="en-US"/>
              </w:rPr>
              <w:t xml:space="preserve"> electrolyte with lithium anode</w:t>
            </w:r>
            <w:r w:rsidRPr="00EB46C4">
              <w:rPr>
                <w:lang w:val="en-US"/>
              </w:rPr>
              <w:t> — •</w:t>
            </w:r>
            <w:proofErr w:type="spellStart"/>
            <w:r w:rsidRPr="00EB46C4">
              <w:rPr>
                <w:lang w:val="en-US"/>
              </w:rPr>
              <w:t>Kangli</w:t>
            </w:r>
            <w:proofErr w:type="spellEnd"/>
            <w:r w:rsidRPr="00EB46C4">
              <w:rPr>
                <w:lang w:val="en-US"/>
              </w:rPr>
              <w:t xml:space="preserve"> Wang and Doreen Mollenhauer — </w:t>
            </w:r>
            <w:proofErr w:type="spellStart"/>
            <w:r w:rsidRPr="00EB46C4">
              <w:rPr>
                <w:lang w:val="en-US"/>
              </w:rPr>
              <w:t>Gießen</w:t>
            </w:r>
            <w:proofErr w:type="spellEnd"/>
            <w:r w:rsidRPr="00EB46C4">
              <w:rPr>
                <w:lang w:val="en-US"/>
              </w:rPr>
              <w:t xml:space="preserve">/DE, Justus-Liebig-Universität </w:t>
            </w:r>
            <w:proofErr w:type="spellStart"/>
            <w:r w:rsidRPr="00EB46C4">
              <w:rPr>
                <w:lang w:val="en-US"/>
              </w:rPr>
              <w:t>Gießen</w:t>
            </w:r>
            <w:proofErr w:type="spellEnd"/>
            <w:r w:rsidRPr="00EB46C4">
              <w:rPr>
                <w:lang w:val="en-US"/>
              </w:rPr>
              <w:t xml:space="preserve">, Heinrich-Buff-Ring 17, 35392 </w:t>
            </w:r>
            <w:proofErr w:type="spellStart"/>
            <w:r w:rsidRPr="00EB46C4">
              <w:rPr>
                <w:lang w:val="en-US"/>
              </w:rPr>
              <w:t>Gießen</w:t>
            </w:r>
            <w:proofErr w:type="spellEnd"/>
          </w:p>
          <w:p w14:paraId="6BC6FEF9" w14:textId="77777777" w:rsidR="00391592" w:rsidRPr="00391592" w:rsidRDefault="00391592" w:rsidP="00391592">
            <w:pPr>
              <w:rPr>
                <w:lang w:val="en-US"/>
              </w:rPr>
            </w:pPr>
            <w:r w:rsidRPr="00391592">
              <w:rPr>
                <w:lang w:val="en-US"/>
              </w:rPr>
              <w:t>All-solid-state batteries (</w:t>
            </w:r>
            <w:proofErr w:type="spellStart"/>
            <w:r w:rsidRPr="00391592">
              <w:rPr>
                <w:lang w:val="en-US"/>
              </w:rPr>
              <w:t>ASSBs</w:t>
            </w:r>
            <w:proofErr w:type="spellEnd"/>
            <w:r w:rsidRPr="00391592">
              <w:rPr>
                <w:lang w:val="en-US"/>
              </w:rPr>
              <w:t xml:space="preserve">) have the potential to offer several advantages over the currently used liquid Li-ion battery technology. To improve the cell properties of </w:t>
            </w:r>
            <w:proofErr w:type="spellStart"/>
            <w:r w:rsidRPr="00391592">
              <w:rPr>
                <w:lang w:val="en-US"/>
              </w:rPr>
              <w:t>ASSBs</w:t>
            </w:r>
            <w:proofErr w:type="spellEnd"/>
            <w:r w:rsidRPr="00391592">
              <w:rPr>
                <w:lang w:val="en-US"/>
              </w:rPr>
              <w:t xml:space="preserve">, it is </w:t>
            </w:r>
            <w:proofErr w:type="gramStart"/>
            <w:r w:rsidRPr="00391592">
              <w:rPr>
                <w:lang w:val="en-US"/>
              </w:rPr>
              <w:t>to</w:t>
            </w:r>
            <w:proofErr w:type="gramEnd"/>
            <w:r w:rsidRPr="00391592">
              <w:rPr>
                <w:lang w:val="en-US"/>
              </w:rPr>
              <w:t xml:space="preserve"> crucial to understand the interfaces between the Li-metal anode and the solid electrolytes (SE). Experimental efforts at the Li/</w:t>
            </w:r>
            <w:proofErr w:type="spellStart"/>
            <w:r w:rsidRPr="00391592">
              <w:rPr>
                <w:lang w:val="en-US"/>
              </w:rPr>
              <w:t>LiPON</w:t>
            </w:r>
            <w:proofErr w:type="spellEnd"/>
            <w:r w:rsidRPr="00391592">
              <w:rPr>
                <w:lang w:val="en-US"/>
              </w:rPr>
              <w:t xml:space="preserve"> interface revealed the decomposition products </w:t>
            </w:r>
            <w:proofErr w:type="spellStart"/>
            <w:r w:rsidRPr="00391592">
              <w:rPr>
                <w:lang w:val="en-US"/>
              </w:rPr>
              <w:t>Li</w:t>
            </w:r>
            <w:r w:rsidRPr="00391592">
              <w:rPr>
                <w:vertAlign w:val="subscript"/>
                <w:lang w:val="en-US"/>
              </w:rPr>
              <w:t>2</w:t>
            </w:r>
            <w:r w:rsidRPr="00391592">
              <w:rPr>
                <w:lang w:val="en-US"/>
              </w:rPr>
              <w:t>O</w:t>
            </w:r>
            <w:proofErr w:type="spellEnd"/>
            <w:r w:rsidRPr="00391592">
              <w:rPr>
                <w:lang w:val="en-US"/>
              </w:rPr>
              <w:t xml:space="preserve">, </w:t>
            </w:r>
            <w:proofErr w:type="spellStart"/>
            <w:r w:rsidRPr="00391592">
              <w:rPr>
                <w:lang w:val="en-US"/>
              </w:rPr>
              <w:t>Li</w:t>
            </w:r>
            <w:r w:rsidRPr="00391592">
              <w:rPr>
                <w:vertAlign w:val="subscript"/>
                <w:lang w:val="en-US"/>
              </w:rPr>
              <w:t>3</w:t>
            </w:r>
            <w:r w:rsidRPr="00391592">
              <w:rPr>
                <w:lang w:val="en-US"/>
              </w:rPr>
              <w:t>N</w:t>
            </w:r>
            <w:proofErr w:type="spellEnd"/>
            <w:r w:rsidRPr="00391592">
              <w:rPr>
                <w:lang w:val="en-US"/>
              </w:rPr>
              <w:t xml:space="preserve">, </w:t>
            </w:r>
            <w:proofErr w:type="spellStart"/>
            <w:r w:rsidRPr="00391592">
              <w:rPr>
                <w:lang w:val="en-US"/>
              </w:rPr>
              <w:t>Li</w:t>
            </w:r>
            <w:r w:rsidRPr="00391592">
              <w:rPr>
                <w:vertAlign w:val="subscript"/>
                <w:lang w:val="en-US"/>
              </w:rPr>
              <w:t>3</w:t>
            </w:r>
            <w:r w:rsidRPr="00391592">
              <w:rPr>
                <w:lang w:val="en-US"/>
              </w:rPr>
              <w:t>P</w:t>
            </w:r>
            <w:proofErr w:type="spellEnd"/>
            <w:r w:rsidRPr="00391592">
              <w:rPr>
                <w:lang w:val="en-US"/>
              </w:rPr>
              <w:t xml:space="preserve">, and </w:t>
            </w:r>
            <w:proofErr w:type="spellStart"/>
            <w:r w:rsidRPr="00391592">
              <w:rPr>
                <w:lang w:val="en-US"/>
              </w:rPr>
              <w:t>Li</w:t>
            </w:r>
            <w:r w:rsidRPr="00391592">
              <w:rPr>
                <w:vertAlign w:val="subscript"/>
                <w:lang w:val="en-US"/>
              </w:rPr>
              <w:t>3</w:t>
            </w:r>
            <w:r w:rsidRPr="00391592">
              <w:rPr>
                <w:lang w:val="en-US"/>
              </w:rPr>
              <w:t>PO</w:t>
            </w:r>
            <w:r w:rsidRPr="00391592">
              <w:rPr>
                <w:vertAlign w:val="subscript"/>
                <w:lang w:val="en-US"/>
              </w:rPr>
              <w:t>4</w:t>
            </w:r>
            <w:proofErr w:type="spellEnd"/>
            <w:r w:rsidRPr="00391592">
              <w:rPr>
                <w:lang w:val="en-US"/>
              </w:rPr>
              <w:t>. Nevertheless, there is still a lack of deep understanding the Li/</w:t>
            </w:r>
            <w:proofErr w:type="spellStart"/>
            <w:r w:rsidRPr="00391592">
              <w:rPr>
                <w:lang w:val="en-US"/>
              </w:rPr>
              <w:t>LiPON</w:t>
            </w:r>
            <w:proofErr w:type="spellEnd"/>
            <w:r w:rsidRPr="00391592">
              <w:rPr>
                <w:lang w:val="en-US"/>
              </w:rPr>
              <w:t xml:space="preserve"> interface, particularly with respect to the interfacial decomposition and reconfiguration.</w:t>
            </w:r>
          </w:p>
          <w:p w14:paraId="4C309A55" w14:textId="77777777" w:rsidR="00391592" w:rsidRPr="00391592" w:rsidRDefault="00391592" w:rsidP="00391592">
            <w:pPr>
              <w:rPr>
                <w:lang w:val="en-US"/>
              </w:rPr>
            </w:pPr>
            <w:r w:rsidRPr="00391592">
              <w:rPr>
                <w:lang w:val="en-US"/>
              </w:rPr>
              <w:lastRenderedPageBreak/>
              <w:t xml:space="preserve">To take a step towards understanding </w:t>
            </w:r>
            <w:proofErr w:type="spellStart"/>
            <w:r w:rsidRPr="00391592">
              <w:rPr>
                <w:lang w:val="en-US"/>
              </w:rPr>
              <w:t>ASSB</w:t>
            </w:r>
            <w:proofErr w:type="spellEnd"/>
            <w:r w:rsidRPr="00391592">
              <w:rPr>
                <w:lang w:val="en-US"/>
              </w:rPr>
              <w:t xml:space="preserve"> interfaces, we explore in detail the role of different interfacial compositions and morphologies caused by decomposition reactions of the Li/</w:t>
            </w:r>
            <w:proofErr w:type="spellStart"/>
            <w:r w:rsidRPr="00391592">
              <w:rPr>
                <w:lang w:val="en-US"/>
              </w:rPr>
              <w:t>LiPON</w:t>
            </w:r>
            <w:proofErr w:type="spellEnd"/>
            <w:r w:rsidRPr="00391592">
              <w:rPr>
                <w:lang w:val="en-US"/>
              </w:rPr>
              <w:t xml:space="preserve"> interface. We investigate and characterize all possible occurring Li/</w:t>
            </w:r>
            <w:proofErr w:type="spellStart"/>
            <w:r w:rsidRPr="00391592">
              <w:rPr>
                <w:lang w:val="en-US"/>
              </w:rPr>
              <w:t>LiPON</w:t>
            </w:r>
            <w:proofErr w:type="spellEnd"/>
            <w:r w:rsidRPr="00391592">
              <w:rPr>
                <w:lang w:val="en-US"/>
              </w:rPr>
              <w:t xml:space="preserve"> interfaces (including Li/</w:t>
            </w:r>
            <w:proofErr w:type="spellStart"/>
            <w:r w:rsidRPr="00391592">
              <w:rPr>
                <w:lang w:val="en-US"/>
              </w:rPr>
              <w:t>Li</w:t>
            </w:r>
            <w:r w:rsidRPr="00391592">
              <w:rPr>
                <w:vertAlign w:val="subscript"/>
                <w:lang w:val="en-US"/>
              </w:rPr>
              <w:t>2</w:t>
            </w:r>
            <w:r w:rsidRPr="00391592">
              <w:rPr>
                <w:lang w:val="en-US"/>
              </w:rPr>
              <w:t>O</w:t>
            </w:r>
            <w:proofErr w:type="spellEnd"/>
            <w:r w:rsidRPr="00391592">
              <w:rPr>
                <w:lang w:val="en-US"/>
              </w:rPr>
              <w:t>, Li/</w:t>
            </w:r>
            <w:proofErr w:type="spellStart"/>
            <w:r w:rsidRPr="00391592">
              <w:rPr>
                <w:lang w:val="en-US"/>
              </w:rPr>
              <w:t>Li</w:t>
            </w:r>
            <w:r w:rsidRPr="00391592">
              <w:rPr>
                <w:vertAlign w:val="subscript"/>
                <w:lang w:val="en-US"/>
              </w:rPr>
              <w:t>3</w:t>
            </w:r>
            <w:r w:rsidRPr="00391592">
              <w:rPr>
                <w:lang w:val="en-US"/>
              </w:rPr>
              <w:t>N</w:t>
            </w:r>
            <w:proofErr w:type="spellEnd"/>
            <w:r w:rsidRPr="00391592">
              <w:rPr>
                <w:lang w:val="en-US"/>
              </w:rPr>
              <w:t>, Li/</w:t>
            </w:r>
            <w:proofErr w:type="spellStart"/>
            <w:r w:rsidRPr="00391592">
              <w:rPr>
                <w:lang w:val="en-US"/>
              </w:rPr>
              <w:t>Li</w:t>
            </w:r>
            <w:r w:rsidRPr="00391592">
              <w:rPr>
                <w:vertAlign w:val="subscript"/>
                <w:lang w:val="en-US"/>
              </w:rPr>
              <w:t>3</w:t>
            </w:r>
            <w:r w:rsidRPr="00391592">
              <w:rPr>
                <w:lang w:val="en-US"/>
              </w:rPr>
              <w:t>P</w:t>
            </w:r>
            <w:proofErr w:type="spellEnd"/>
            <w:r w:rsidRPr="00391592">
              <w:rPr>
                <w:lang w:val="en-US"/>
              </w:rPr>
              <w:t xml:space="preserve"> and Li/</w:t>
            </w:r>
            <w:proofErr w:type="spellStart"/>
            <w:r w:rsidRPr="00391592">
              <w:rPr>
                <w:lang w:val="en-US"/>
              </w:rPr>
              <w:t>Li</w:t>
            </w:r>
            <w:r w:rsidRPr="00391592">
              <w:rPr>
                <w:vertAlign w:val="subscript"/>
                <w:lang w:val="en-US"/>
              </w:rPr>
              <w:t>3</w:t>
            </w:r>
            <w:r w:rsidRPr="00391592">
              <w:rPr>
                <w:lang w:val="en-US"/>
              </w:rPr>
              <w:t>PO</w:t>
            </w:r>
            <w:r w:rsidRPr="00391592">
              <w:rPr>
                <w:vertAlign w:val="subscript"/>
                <w:lang w:val="en-US"/>
              </w:rPr>
              <w:t>4</w:t>
            </w:r>
            <w:proofErr w:type="spellEnd"/>
            <w:r w:rsidRPr="00391592">
              <w:rPr>
                <w:lang w:val="en-US"/>
              </w:rPr>
              <w:t xml:space="preserve">) and </w:t>
            </w:r>
            <w:proofErr w:type="spellStart"/>
            <w:r w:rsidRPr="00391592">
              <w:rPr>
                <w:lang w:val="en-US"/>
              </w:rPr>
              <w:t>LiPON</w:t>
            </w:r>
            <w:proofErr w:type="spellEnd"/>
            <w:r w:rsidRPr="00391592">
              <w:rPr>
                <w:lang w:val="en-US"/>
              </w:rPr>
              <w:t>/</w:t>
            </w:r>
            <w:proofErr w:type="spellStart"/>
            <w:r w:rsidRPr="00391592">
              <w:rPr>
                <w:lang w:val="en-US"/>
              </w:rPr>
              <w:t>LiPON</w:t>
            </w:r>
            <w:proofErr w:type="spellEnd"/>
            <w:r w:rsidRPr="00391592">
              <w:rPr>
                <w:lang w:val="en-US"/>
              </w:rPr>
              <w:t xml:space="preserve"> interfaces (including </w:t>
            </w:r>
            <w:proofErr w:type="spellStart"/>
            <w:r w:rsidRPr="00391592">
              <w:rPr>
                <w:lang w:val="en-US"/>
              </w:rPr>
              <w:t>Li</w:t>
            </w:r>
            <w:r w:rsidRPr="00391592">
              <w:rPr>
                <w:vertAlign w:val="subscript"/>
                <w:lang w:val="en-US"/>
              </w:rPr>
              <w:t>2</w:t>
            </w:r>
            <w:r w:rsidRPr="00391592">
              <w:rPr>
                <w:lang w:val="en-US"/>
              </w:rPr>
              <w:t>O</w:t>
            </w:r>
            <w:proofErr w:type="spellEnd"/>
            <w:r w:rsidRPr="00391592">
              <w:rPr>
                <w:lang w:val="en-US"/>
              </w:rPr>
              <w:t>/</w:t>
            </w:r>
            <w:proofErr w:type="spellStart"/>
            <w:r w:rsidRPr="00391592">
              <w:rPr>
                <w:lang w:val="en-US"/>
              </w:rPr>
              <w:t>Li</w:t>
            </w:r>
            <w:r w:rsidRPr="00391592">
              <w:rPr>
                <w:vertAlign w:val="subscript"/>
                <w:lang w:val="en-US"/>
              </w:rPr>
              <w:t>3</w:t>
            </w:r>
            <w:r w:rsidRPr="00391592">
              <w:rPr>
                <w:lang w:val="en-US"/>
              </w:rPr>
              <w:t>N</w:t>
            </w:r>
            <w:proofErr w:type="spellEnd"/>
            <w:r w:rsidRPr="00391592">
              <w:rPr>
                <w:lang w:val="en-US"/>
              </w:rPr>
              <w:t xml:space="preserve">, </w:t>
            </w:r>
            <w:proofErr w:type="spellStart"/>
            <w:r w:rsidRPr="00391592">
              <w:rPr>
                <w:lang w:val="en-US"/>
              </w:rPr>
              <w:t>Li</w:t>
            </w:r>
            <w:r w:rsidRPr="00391592">
              <w:rPr>
                <w:vertAlign w:val="subscript"/>
                <w:lang w:val="en-US"/>
              </w:rPr>
              <w:t>2</w:t>
            </w:r>
            <w:r w:rsidRPr="00391592">
              <w:rPr>
                <w:lang w:val="en-US"/>
              </w:rPr>
              <w:t>O</w:t>
            </w:r>
            <w:proofErr w:type="spellEnd"/>
            <w:r w:rsidRPr="00391592">
              <w:rPr>
                <w:lang w:val="en-US"/>
              </w:rPr>
              <w:t>/</w:t>
            </w:r>
            <w:proofErr w:type="spellStart"/>
            <w:r w:rsidRPr="00391592">
              <w:rPr>
                <w:lang w:val="en-US"/>
              </w:rPr>
              <w:t>Li</w:t>
            </w:r>
            <w:r w:rsidRPr="00391592">
              <w:rPr>
                <w:vertAlign w:val="subscript"/>
                <w:lang w:val="en-US"/>
              </w:rPr>
              <w:t>3</w:t>
            </w:r>
            <w:r w:rsidRPr="00391592">
              <w:rPr>
                <w:lang w:val="en-US"/>
              </w:rPr>
              <w:t>P</w:t>
            </w:r>
            <w:proofErr w:type="spellEnd"/>
            <w:r w:rsidRPr="00391592">
              <w:rPr>
                <w:lang w:val="en-US"/>
              </w:rPr>
              <w:t xml:space="preserve">, </w:t>
            </w:r>
            <w:proofErr w:type="spellStart"/>
            <w:r w:rsidRPr="00391592">
              <w:rPr>
                <w:lang w:val="en-US"/>
              </w:rPr>
              <w:t>Li</w:t>
            </w:r>
            <w:r w:rsidRPr="00391592">
              <w:rPr>
                <w:vertAlign w:val="subscript"/>
                <w:lang w:val="en-US"/>
              </w:rPr>
              <w:t>2</w:t>
            </w:r>
            <w:r w:rsidRPr="00391592">
              <w:rPr>
                <w:lang w:val="en-US"/>
              </w:rPr>
              <w:t>O</w:t>
            </w:r>
            <w:proofErr w:type="spellEnd"/>
            <w:r w:rsidRPr="00391592">
              <w:rPr>
                <w:lang w:val="en-US"/>
              </w:rPr>
              <w:t>/</w:t>
            </w:r>
            <w:proofErr w:type="spellStart"/>
            <w:r w:rsidRPr="00391592">
              <w:rPr>
                <w:lang w:val="en-US"/>
              </w:rPr>
              <w:t>Li</w:t>
            </w:r>
            <w:r w:rsidRPr="00391592">
              <w:rPr>
                <w:vertAlign w:val="subscript"/>
                <w:lang w:val="en-US"/>
              </w:rPr>
              <w:t>3</w:t>
            </w:r>
            <w:r w:rsidRPr="00391592">
              <w:rPr>
                <w:lang w:val="en-US"/>
              </w:rPr>
              <w:t>PO</w:t>
            </w:r>
            <w:r w:rsidRPr="00391592">
              <w:rPr>
                <w:vertAlign w:val="subscript"/>
                <w:lang w:val="en-US"/>
              </w:rPr>
              <w:t>4</w:t>
            </w:r>
            <w:proofErr w:type="spellEnd"/>
            <w:r w:rsidRPr="00391592">
              <w:rPr>
                <w:lang w:val="en-US"/>
              </w:rPr>
              <w:t xml:space="preserve">, </w:t>
            </w:r>
            <w:proofErr w:type="spellStart"/>
            <w:r w:rsidRPr="00391592">
              <w:rPr>
                <w:lang w:val="en-US"/>
              </w:rPr>
              <w:t>Li</w:t>
            </w:r>
            <w:r w:rsidRPr="00391592">
              <w:rPr>
                <w:vertAlign w:val="subscript"/>
                <w:lang w:val="en-US"/>
              </w:rPr>
              <w:t>3</w:t>
            </w:r>
            <w:r w:rsidRPr="00391592">
              <w:rPr>
                <w:lang w:val="en-US"/>
              </w:rPr>
              <w:t>N</w:t>
            </w:r>
            <w:proofErr w:type="spellEnd"/>
            <w:r w:rsidRPr="00391592">
              <w:rPr>
                <w:lang w:val="en-US"/>
              </w:rPr>
              <w:t>/</w:t>
            </w:r>
            <w:proofErr w:type="spellStart"/>
            <w:r w:rsidRPr="00391592">
              <w:rPr>
                <w:lang w:val="en-US"/>
              </w:rPr>
              <w:t>Li</w:t>
            </w:r>
            <w:r w:rsidRPr="00391592">
              <w:rPr>
                <w:vertAlign w:val="subscript"/>
                <w:lang w:val="en-US"/>
              </w:rPr>
              <w:t>3</w:t>
            </w:r>
            <w:r w:rsidRPr="00391592">
              <w:rPr>
                <w:lang w:val="en-US"/>
              </w:rPr>
              <w:t>P</w:t>
            </w:r>
            <w:proofErr w:type="spellEnd"/>
            <w:r w:rsidRPr="00391592">
              <w:rPr>
                <w:lang w:val="en-US"/>
              </w:rPr>
              <w:t xml:space="preserve">, </w:t>
            </w:r>
            <w:proofErr w:type="spellStart"/>
            <w:r w:rsidRPr="00391592">
              <w:rPr>
                <w:lang w:val="en-US"/>
              </w:rPr>
              <w:t>Li</w:t>
            </w:r>
            <w:r w:rsidRPr="00391592">
              <w:rPr>
                <w:vertAlign w:val="subscript"/>
                <w:lang w:val="en-US"/>
              </w:rPr>
              <w:t>3</w:t>
            </w:r>
            <w:r w:rsidRPr="00391592">
              <w:rPr>
                <w:lang w:val="en-US"/>
              </w:rPr>
              <w:t>N</w:t>
            </w:r>
            <w:proofErr w:type="spellEnd"/>
            <w:r w:rsidRPr="00391592">
              <w:rPr>
                <w:lang w:val="en-US"/>
              </w:rPr>
              <w:t>/</w:t>
            </w:r>
            <w:proofErr w:type="spellStart"/>
            <w:r w:rsidRPr="00391592">
              <w:rPr>
                <w:lang w:val="en-US"/>
              </w:rPr>
              <w:t>Li</w:t>
            </w:r>
            <w:r w:rsidRPr="00391592">
              <w:rPr>
                <w:vertAlign w:val="subscript"/>
                <w:lang w:val="en-US"/>
              </w:rPr>
              <w:t>3</w:t>
            </w:r>
            <w:r w:rsidRPr="00391592">
              <w:rPr>
                <w:lang w:val="en-US"/>
              </w:rPr>
              <w:t>PO</w:t>
            </w:r>
            <w:r w:rsidRPr="00391592">
              <w:rPr>
                <w:vertAlign w:val="subscript"/>
                <w:lang w:val="en-US"/>
              </w:rPr>
              <w:t>4</w:t>
            </w:r>
            <w:proofErr w:type="spellEnd"/>
            <w:r w:rsidRPr="00391592">
              <w:rPr>
                <w:lang w:val="en-US"/>
              </w:rPr>
              <w:t xml:space="preserve"> and </w:t>
            </w:r>
            <w:proofErr w:type="spellStart"/>
            <w:r w:rsidRPr="00391592">
              <w:rPr>
                <w:lang w:val="en-US"/>
              </w:rPr>
              <w:t>Li</w:t>
            </w:r>
            <w:r w:rsidRPr="00391592">
              <w:rPr>
                <w:vertAlign w:val="subscript"/>
                <w:lang w:val="en-US"/>
              </w:rPr>
              <w:t>3</w:t>
            </w:r>
            <w:r w:rsidRPr="00391592">
              <w:rPr>
                <w:lang w:val="en-US"/>
              </w:rPr>
              <w:t>P</w:t>
            </w:r>
            <w:proofErr w:type="spellEnd"/>
            <w:r w:rsidRPr="00391592">
              <w:rPr>
                <w:lang w:val="en-US"/>
              </w:rPr>
              <w:t>/</w:t>
            </w:r>
            <w:proofErr w:type="spellStart"/>
            <w:r w:rsidRPr="00391592">
              <w:rPr>
                <w:lang w:val="en-US"/>
              </w:rPr>
              <w:t>Li</w:t>
            </w:r>
            <w:r w:rsidRPr="00391592">
              <w:rPr>
                <w:vertAlign w:val="subscript"/>
                <w:lang w:val="en-US"/>
              </w:rPr>
              <w:t>3</w:t>
            </w:r>
            <w:r w:rsidRPr="00391592">
              <w:rPr>
                <w:lang w:val="en-US"/>
              </w:rPr>
              <w:t>PO</w:t>
            </w:r>
            <w:r w:rsidRPr="00391592">
              <w:rPr>
                <w:vertAlign w:val="subscript"/>
                <w:lang w:val="en-US"/>
              </w:rPr>
              <w:t>4</w:t>
            </w:r>
            <w:proofErr w:type="spellEnd"/>
            <w:r w:rsidRPr="00391592">
              <w:rPr>
                <w:lang w:val="en-US"/>
              </w:rPr>
              <w:t>) using density functional theory (</w:t>
            </w:r>
            <w:proofErr w:type="spellStart"/>
            <w:r w:rsidRPr="00391592">
              <w:rPr>
                <w:lang w:val="en-US"/>
              </w:rPr>
              <w:t>DFT</w:t>
            </w:r>
            <w:proofErr w:type="spellEnd"/>
            <w:r w:rsidRPr="00391592">
              <w:rPr>
                <w:lang w:val="en-US"/>
              </w:rPr>
              <w:t xml:space="preserve">) calculations. We believe that our study provides a fundamental understanding to guide the future design of solid electrolytes and interfaces in </w:t>
            </w:r>
            <w:proofErr w:type="spellStart"/>
            <w:r w:rsidRPr="00391592">
              <w:rPr>
                <w:lang w:val="en-US"/>
              </w:rPr>
              <w:t>ASSBs</w:t>
            </w:r>
            <w:proofErr w:type="spellEnd"/>
            <w:r w:rsidRPr="00391592">
              <w:rPr>
                <w:lang w:val="en-US"/>
              </w:rPr>
              <w:t>.</w:t>
            </w:r>
          </w:p>
        </w:tc>
      </w:tr>
      <w:tr w:rsidR="00391592" w:rsidRPr="003C1CAD" w14:paraId="1E5976BA" w14:textId="77777777" w:rsidTr="00EB46C4">
        <w:trPr>
          <w:tblCellSpacing w:w="15" w:type="dxa"/>
        </w:trPr>
        <w:tc>
          <w:tcPr>
            <w:tcW w:w="288" w:type="pct"/>
            <w:tcMar>
              <w:top w:w="96" w:type="dxa"/>
              <w:left w:w="0" w:type="dxa"/>
              <w:bottom w:w="0" w:type="dxa"/>
              <w:right w:w="360" w:type="dxa"/>
            </w:tcMar>
            <w:hideMark/>
          </w:tcPr>
          <w:p w14:paraId="57C6E135" w14:textId="3A10151E" w:rsidR="00391592" w:rsidRPr="00391592" w:rsidRDefault="00391592" w:rsidP="00391592">
            <w:r w:rsidRPr="00391592">
              <w:rPr>
                <w:noProof/>
              </w:rPr>
              <w:lastRenderedPageBreak/>
              <w:drawing>
                <wp:inline distT="0" distB="0" distL="0" distR="0" wp14:anchorId="6CA7493F" wp14:editId="40E20614">
                  <wp:extent cx="152400" cy="152400"/>
                  <wp:effectExtent l="0" t="0" r="0" b="0"/>
                  <wp:docPr id="1808672169" name="Grafik 13" descr="Ein Bild, das Kreis, Symbol, Logo, Design enthält.&#10;&#10;Automatisch generierte Beschreibu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72169" name="Grafik 13" descr="Ein Bild, das Kreis, Symbol, Logo, Design enthält.&#10;&#10;Automatisch generierte Beschreibung">
                            <a:hlinkClick r:id="rId64"/>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46" w:type="pct"/>
            <w:noWrap/>
            <w:tcMar>
              <w:top w:w="96" w:type="dxa"/>
              <w:left w:w="0" w:type="dxa"/>
              <w:bottom w:w="0" w:type="dxa"/>
              <w:right w:w="360" w:type="dxa"/>
            </w:tcMar>
            <w:hideMark/>
          </w:tcPr>
          <w:p w14:paraId="03BA8EFE" w14:textId="77777777" w:rsidR="00391592" w:rsidRPr="00391592" w:rsidRDefault="00391592" w:rsidP="00391592">
            <w:r w:rsidRPr="00391592">
              <w:t>12:00</w:t>
            </w:r>
          </w:p>
        </w:tc>
        <w:tc>
          <w:tcPr>
            <w:tcW w:w="1290" w:type="dxa"/>
            <w:noWrap/>
            <w:tcMar>
              <w:top w:w="96" w:type="dxa"/>
              <w:left w:w="0" w:type="dxa"/>
              <w:bottom w:w="0" w:type="dxa"/>
              <w:right w:w="360" w:type="dxa"/>
            </w:tcMar>
            <w:hideMark/>
          </w:tcPr>
          <w:p w14:paraId="270C467F" w14:textId="77777777" w:rsidR="00391592" w:rsidRPr="00391592" w:rsidRDefault="00391592" w:rsidP="00391592">
            <w:r w:rsidRPr="00391592">
              <w:t>AKE 3.11</w:t>
            </w:r>
          </w:p>
        </w:tc>
        <w:tc>
          <w:tcPr>
            <w:tcW w:w="3373" w:type="pct"/>
            <w:tcMar>
              <w:top w:w="96" w:type="dxa"/>
              <w:left w:w="0" w:type="dxa"/>
              <w:bottom w:w="0" w:type="dxa"/>
              <w:right w:w="360" w:type="dxa"/>
            </w:tcMar>
            <w:hideMark/>
          </w:tcPr>
          <w:p w14:paraId="1CF92DA9" w14:textId="77777777" w:rsidR="00391592" w:rsidRPr="00391592" w:rsidRDefault="00000000" w:rsidP="00391592">
            <w:pPr>
              <w:rPr>
                <w:lang w:val="en-US"/>
              </w:rPr>
            </w:pPr>
            <w:hyperlink r:id="rId65" w:history="1">
              <w:r w:rsidR="00391592" w:rsidRPr="00391592">
                <w:rPr>
                  <w:rStyle w:val="Hyperlink"/>
                  <w:lang w:val="en-US"/>
                </w:rPr>
                <w:t>First principles calculations of borides alloy</w:t>
              </w:r>
            </w:hyperlink>
            <w:r w:rsidR="00391592" w:rsidRPr="00391592">
              <w:rPr>
                <w:lang w:val="en-US"/>
              </w:rPr>
              <w:t> — •</w:t>
            </w:r>
            <w:proofErr w:type="spellStart"/>
            <w:r w:rsidR="00391592" w:rsidRPr="00391592">
              <w:rPr>
                <w:lang w:val="en-US"/>
              </w:rPr>
              <w:t>Jiangming</w:t>
            </w:r>
            <w:proofErr w:type="spellEnd"/>
            <w:r w:rsidR="00391592" w:rsidRPr="00391592">
              <w:rPr>
                <w:lang w:val="en-US"/>
              </w:rPr>
              <w:t xml:space="preserve"> Cao</w:t>
            </w:r>
          </w:p>
        </w:tc>
      </w:tr>
      <w:tr w:rsidR="00391592" w:rsidRPr="003C1CAD" w14:paraId="0007E140" w14:textId="77777777" w:rsidTr="00EB46C4">
        <w:trPr>
          <w:tblCellSpacing w:w="15" w:type="dxa"/>
        </w:trPr>
        <w:tc>
          <w:tcPr>
            <w:tcW w:w="288" w:type="pct"/>
            <w:tcMar>
              <w:top w:w="96" w:type="dxa"/>
              <w:left w:w="0" w:type="dxa"/>
              <w:bottom w:w="0" w:type="dxa"/>
              <w:right w:w="360" w:type="dxa"/>
            </w:tcMar>
            <w:hideMark/>
          </w:tcPr>
          <w:p w14:paraId="692C783D" w14:textId="77777777" w:rsidR="00391592" w:rsidRPr="00391592" w:rsidRDefault="00391592" w:rsidP="00391592">
            <w:pPr>
              <w:rPr>
                <w:lang w:val="en-US"/>
              </w:rPr>
            </w:pPr>
          </w:p>
        </w:tc>
        <w:tc>
          <w:tcPr>
            <w:tcW w:w="4663" w:type="pct"/>
            <w:gridSpan w:val="3"/>
            <w:tcMar>
              <w:top w:w="96" w:type="dxa"/>
              <w:left w:w="0" w:type="dxa"/>
              <w:bottom w:w="0" w:type="dxa"/>
              <w:right w:w="360" w:type="dxa"/>
            </w:tcMar>
            <w:hideMark/>
          </w:tcPr>
          <w:p w14:paraId="22E930EC" w14:textId="77777777" w:rsidR="00391592" w:rsidRPr="00391592" w:rsidRDefault="00391592" w:rsidP="00391592">
            <w:pPr>
              <w:rPr>
                <w:lang w:val="en-US"/>
              </w:rPr>
            </w:pPr>
            <w:r w:rsidRPr="00391592">
              <w:rPr>
                <w:b/>
                <w:bCs/>
                <w:lang w:val="en-US"/>
              </w:rPr>
              <w:t>First principles calculations of borides alloy</w:t>
            </w:r>
            <w:r w:rsidRPr="00391592">
              <w:rPr>
                <w:lang w:val="en-US"/>
              </w:rPr>
              <w:t> — •</w:t>
            </w:r>
            <w:proofErr w:type="spellStart"/>
            <w:r w:rsidRPr="00391592">
              <w:rPr>
                <w:lang w:val="en-US"/>
              </w:rPr>
              <w:t>Jiangming</w:t>
            </w:r>
            <w:proofErr w:type="spellEnd"/>
            <w:r w:rsidRPr="00391592">
              <w:rPr>
                <w:lang w:val="en-US"/>
              </w:rPr>
              <w:t xml:space="preserve"> Cao — Helmut-Schmidt University, </w:t>
            </w:r>
            <w:proofErr w:type="spellStart"/>
            <w:r w:rsidRPr="00391592">
              <w:rPr>
                <w:lang w:val="en-US"/>
              </w:rPr>
              <w:t>Holstenhofweg</w:t>
            </w:r>
            <w:proofErr w:type="spellEnd"/>
            <w:r w:rsidRPr="00391592">
              <w:rPr>
                <w:lang w:val="en-US"/>
              </w:rPr>
              <w:t xml:space="preserve"> 85, 22043 Hamburg, Germany</w:t>
            </w:r>
          </w:p>
          <w:p w14:paraId="67068421" w14:textId="77777777" w:rsidR="00391592" w:rsidRPr="00391592" w:rsidRDefault="00391592" w:rsidP="00391592">
            <w:pPr>
              <w:rPr>
                <w:lang w:val="en-US"/>
              </w:rPr>
            </w:pPr>
            <w:r w:rsidRPr="00391592">
              <w:rPr>
                <w:lang w:val="en-US"/>
              </w:rPr>
              <w:t xml:space="preserve">In the preparation of hydrogen storage materials, boron element is inevitably </w:t>
            </w:r>
            <w:proofErr w:type="gramStart"/>
            <w:r w:rsidRPr="00391592">
              <w:rPr>
                <w:lang w:val="en-US"/>
              </w:rPr>
              <w:t>introduced</w:t>
            </w:r>
            <w:proofErr w:type="gramEnd"/>
            <w:r w:rsidRPr="00391592">
              <w:rPr>
                <w:lang w:val="en-US"/>
              </w:rPr>
              <w:t xml:space="preserve"> and thus ternary alloys are produced. We need to explore which alloys are easy to form and which borides affect the properties of hydrogen storage materials. The basic working on is trying to change lattice constant of </w:t>
            </w:r>
            <w:proofErr w:type="spellStart"/>
            <w:r w:rsidRPr="00391592">
              <w:rPr>
                <w:lang w:val="en-US"/>
              </w:rPr>
              <w:t>TiB2</w:t>
            </w:r>
            <w:proofErr w:type="spellEnd"/>
            <w:r w:rsidRPr="00391592">
              <w:rPr>
                <w:lang w:val="en-US"/>
              </w:rPr>
              <w:t xml:space="preserve"> to match the lattice constant of </w:t>
            </w:r>
            <w:proofErr w:type="spellStart"/>
            <w:r w:rsidRPr="00391592">
              <w:rPr>
                <w:lang w:val="en-US"/>
              </w:rPr>
              <w:t>MgB2</w:t>
            </w:r>
            <w:proofErr w:type="spellEnd"/>
            <w:r w:rsidRPr="00391592">
              <w:rPr>
                <w:lang w:val="en-US"/>
              </w:rPr>
              <w:t xml:space="preserve"> by alloying into </w:t>
            </w:r>
            <w:proofErr w:type="spellStart"/>
            <w:r w:rsidRPr="00391592">
              <w:rPr>
                <w:lang w:val="en-US"/>
              </w:rPr>
              <w:t>TiB2</w:t>
            </w:r>
            <w:proofErr w:type="spellEnd"/>
            <w:r w:rsidRPr="00391592">
              <w:rPr>
                <w:lang w:val="en-US"/>
              </w:rPr>
              <w:t xml:space="preserve">, finding alloying part of this </w:t>
            </w:r>
            <w:proofErr w:type="spellStart"/>
            <w:r w:rsidRPr="00391592">
              <w:rPr>
                <w:lang w:val="en-US"/>
              </w:rPr>
              <w:t>TiB2</w:t>
            </w:r>
            <w:proofErr w:type="spellEnd"/>
            <w:r w:rsidRPr="00391592">
              <w:rPr>
                <w:lang w:val="en-US"/>
              </w:rPr>
              <w:t xml:space="preserve">. A range of elements near Ti in the periodic table as possible candidates, when initially for elements that crystallized in the same structures </w:t>
            </w:r>
            <w:proofErr w:type="spellStart"/>
            <w:r w:rsidRPr="00391592">
              <w:rPr>
                <w:lang w:val="en-US"/>
              </w:rPr>
              <w:t>TiB2</w:t>
            </w:r>
            <w:proofErr w:type="spellEnd"/>
            <w:r w:rsidRPr="00391592">
              <w:rPr>
                <w:lang w:val="en-US"/>
              </w:rPr>
              <w:t xml:space="preserve">. Then some boride-like structures were found, exhibiting larger lattice constant than </w:t>
            </w:r>
            <w:proofErr w:type="spellStart"/>
            <w:r w:rsidRPr="00391592">
              <w:rPr>
                <w:lang w:val="en-US"/>
              </w:rPr>
              <w:t>TiB2</w:t>
            </w:r>
            <w:proofErr w:type="spellEnd"/>
            <w:r w:rsidRPr="00391592">
              <w:rPr>
                <w:lang w:val="en-US"/>
              </w:rPr>
              <w:t xml:space="preserve">. The basic purpose is to alloy </w:t>
            </w:r>
            <w:proofErr w:type="spellStart"/>
            <w:r w:rsidRPr="00391592">
              <w:rPr>
                <w:lang w:val="en-US"/>
              </w:rPr>
              <w:t>TiB2</w:t>
            </w:r>
            <w:proofErr w:type="spellEnd"/>
            <w:r w:rsidRPr="00391592">
              <w:rPr>
                <w:lang w:val="en-US"/>
              </w:rPr>
              <w:t xml:space="preserve"> with one of the other elements (Sc, Y, Zr, Hf, Nb and Ta). The predicted (</w:t>
            </w:r>
            <w:proofErr w:type="spellStart"/>
            <w:r w:rsidRPr="00391592">
              <w:rPr>
                <w:lang w:val="en-US"/>
              </w:rPr>
              <w:t>Ta:Ti</w:t>
            </w:r>
            <w:proofErr w:type="spellEnd"/>
            <w:r w:rsidRPr="00391592">
              <w:rPr>
                <w:lang w:val="en-US"/>
              </w:rPr>
              <w:t>)</w:t>
            </w:r>
            <w:proofErr w:type="spellStart"/>
            <w:r w:rsidRPr="00391592">
              <w:rPr>
                <w:lang w:val="en-US"/>
              </w:rPr>
              <w:t>B2</w:t>
            </w:r>
            <w:proofErr w:type="spellEnd"/>
            <w:r w:rsidRPr="00391592">
              <w:rPr>
                <w:lang w:val="en-US"/>
              </w:rPr>
              <w:t xml:space="preserve"> alloy exhibited novel ternary ground state that break the convex hull and low zero-temperature formation energy cover the entire range of considered concentration. When the composition is </w:t>
            </w:r>
            <w:proofErr w:type="spellStart"/>
            <w:r w:rsidRPr="00391592">
              <w:rPr>
                <w:lang w:val="en-US"/>
              </w:rPr>
              <w:t>Ta1</w:t>
            </w:r>
            <w:proofErr w:type="spellEnd"/>
            <w:r w:rsidRPr="00391592">
              <w:rPr>
                <w:lang w:val="en-US"/>
              </w:rPr>
              <w:t>/</w:t>
            </w:r>
            <w:proofErr w:type="spellStart"/>
            <w:r w:rsidRPr="00391592">
              <w:rPr>
                <w:lang w:val="en-US"/>
              </w:rPr>
              <w:t>3Ti2</w:t>
            </w:r>
            <w:proofErr w:type="spellEnd"/>
            <w:r w:rsidRPr="00391592">
              <w:rPr>
                <w:lang w:val="en-US"/>
              </w:rPr>
              <w:t>/</w:t>
            </w:r>
            <w:proofErr w:type="spellStart"/>
            <w:r w:rsidRPr="00391592">
              <w:rPr>
                <w:lang w:val="en-US"/>
              </w:rPr>
              <w:t>3B2</w:t>
            </w:r>
            <w:proofErr w:type="spellEnd"/>
            <w:r w:rsidRPr="00391592">
              <w:rPr>
                <w:lang w:val="en-US"/>
              </w:rPr>
              <w:t xml:space="preserve">, this alloy composition should be achievable easily, due to the lowest formation energy. From the Ta-rich to Ti-rich side, 9 ternary borides breaking the convex- hull are advantage over other corresponding concentration. Such as </w:t>
            </w:r>
            <w:proofErr w:type="spellStart"/>
            <w:r w:rsidRPr="00391592">
              <w:rPr>
                <w:lang w:val="en-US"/>
              </w:rPr>
              <w:t>Ta1</w:t>
            </w:r>
            <w:proofErr w:type="spellEnd"/>
            <w:r w:rsidRPr="00391592">
              <w:rPr>
                <w:lang w:val="en-US"/>
              </w:rPr>
              <w:t>/</w:t>
            </w:r>
            <w:proofErr w:type="spellStart"/>
            <w:r w:rsidRPr="00391592">
              <w:rPr>
                <w:lang w:val="en-US"/>
              </w:rPr>
              <w:t>8Ti7</w:t>
            </w:r>
            <w:proofErr w:type="spellEnd"/>
            <w:r w:rsidRPr="00391592">
              <w:rPr>
                <w:lang w:val="en-US"/>
              </w:rPr>
              <w:t>/</w:t>
            </w:r>
            <w:proofErr w:type="spellStart"/>
            <w:r w:rsidRPr="00391592">
              <w:rPr>
                <w:lang w:val="en-US"/>
              </w:rPr>
              <w:t>8B2</w:t>
            </w:r>
            <w:proofErr w:type="spellEnd"/>
            <w:r w:rsidRPr="00391592">
              <w:rPr>
                <w:lang w:val="en-US"/>
              </w:rPr>
              <w:t xml:space="preserve">, </w:t>
            </w:r>
            <w:proofErr w:type="spellStart"/>
            <w:r w:rsidRPr="00391592">
              <w:rPr>
                <w:lang w:val="en-US"/>
              </w:rPr>
              <w:t>Ta2</w:t>
            </w:r>
            <w:proofErr w:type="spellEnd"/>
            <w:r w:rsidRPr="00391592">
              <w:rPr>
                <w:lang w:val="en-US"/>
              </w:rPr>
              <w:t>/</w:t>
            </w:r>
            <w:proofErr w:type="spellStart"/>
            <w:r w:rsidRPr="00391592">
              <w:rPr>
                <w:lang w:val="en-US"/>
              </w:rPr>
              <w:t>9Ti7</w:t>
            </w:r>
            <w:proofErr w:type="spellEnd"/>
            <w:r w:rsidRPr="00391592">
              <w:rPr>
                <w:lang w:val="en-US"/>
              </w:rPr>
              <w:t>/</w:t>
            </w:r>
            <w:proofErr w:type="spellStart"/>
            <w:r w:rsidRPr="00391592">
              <w:rPr>
                <w:lang w:val="en-US"/>
              </w:rPr>
              <w:t>9B2</w:t>
            </w:r>
            <w:proofErr w:type="spellEnd"/>
            <w:r w:rsidRPr="00391592">
              <w:rPr>
                <w:lang w:val="en-US"/>
              </w:rPr>
              <w:t xml:space="preserve">, </w:t>
            </w:r>
            <w:proofErr w:type="spellStart"/>
            <w:r w:rsidRPr="00391592">
              <w:rPr>
                <w:lang w:val="en-US"/>
              </w:rPr>
              <w:t>Ta1</w:t>
            </w:r>
            <w:proofErr w:type="spellEnd"/>
            <w:r w:rsidRPr="00391592">
              <w:rPr>
                <w:lang w:val="en-US"/>
              </w:rPr>
              <w:t>/</w:t>
            </w:r>
            <w:proofErr w:type="spellStart"/>
            <w:r w:rsidRPr="00391592">
              <w:rPr>
                <w:lang w:val="en-US"/>
              </w:rPr>
              <w:t>3Ti2</w:t>
            </w:r>
            <w:proofErr w:type="spellEnd"/>
            <w:r w:rsidRPr="00391592">
              <w:rPr>
                <w:lang w:val="en-US"/>
              </w:rPr>
              <w:t>/</w:t>
            </w:r>
            <w:proofErr w:type="spellStart"/>
            <w:r w:rsidRPr="00391592">
              <w:rPr>
                <w:lang w:val="en-US"/>
              </w:rPr>
              <w:t>3B2</w:t>
            </w:r>
            <w:proofErr w:type="spellEnd"/>
            <w:r w:rsidRPr="00391592">
              <w:rPr>
                <w:lang w:val="en-US"/>
              </w:rPr>
              <w:t xml:space="preserve">, </w:t>
            </w:r>
            <w:proofErr w:type="spellStart"/>
            <w:r w:rsidRPr="00391592">
              <w:rPr>
                <w:lang w:val="en-US"/>
              </w:rPr>
              <w:t>Ta4</w:t>
            </w:r>
            <w:proofErr w:type="spellEnd"/>
            <w:r w:rsidRPr="00391592">
              <w:rPr>
                <w:lang w:val="en-US"/>
              </w:rPr>
              <w:t>/</w:t>
            </w:r>
            <w:proofErr w:type="spellStart"/>
            <w:r w:rsidRPr="00391592">
              <w:rPr>
                <w:lang w:val="en-US"/>
              </w:rPr>
              <w:t>9Ti5</w:t>
            </w:r>
            <w:proofErr w:type="spellEnd"/>
            <w:r w:rsidRPr="00391592">
              <w:rPr>
                <w:lang w:val="en-US"/>
              </w:rPr>
              <w:t>/</w:t>
            </w:r>
            <w:proofErr w:type="spellStart"/>
            <w:r w:rsidRPr="00391592">
              <w:rPr>
                <w:lang w:val="en-US"/>
              </w:rPr>
              <w:t>9B2</w:t>
            </w:r>
            <w:proofErr w:type="spellEnd"/>
            <w:r w:rsidRPr="00391592">
              <w:rPr>
                <w:lang w:val="en-US"/>
              </w:rPr>
              <w:t xml:space="preserve">, </w:t>
            </w:r>
            <w:proofErr w:type="spellStart"/>
            <w:r w:rsidRPr="00391592">
              <w:rPr>
                <w:lang w:val="en-US"/>
              </w:rPr>
              <w:t>Ta1</w:t>
            </w:r>
            <w:proofErr w:type="spellEnd"/>
            <w:r w:rsidRPr="00391592">
              <w:rPr>
                <w:lang w:val="en-US"/>
              </w:rPr>
              <w:t>/</w:t>
            </w:r>
            <w:proofErr w:type="spellStart"/>
            <w:r w:rsidRPr="00391592">
              <w:rPr>
                <w:lang w:val="en-US"/>
              </w:rPr>
              <w:t>2Ti1</w:t>
            </w:r>
            <w:proofErr w:type="spellEnd"/>
            <w:r w:rsidRPr="00391592">
              <w:rPr>
                <w:lang w:val="en-US"/>
              </w:rPr>
              <w:t>/</w:t>
            </w:r>
            <w:proofErr w:type="spellStart"/>
            <w:r w:rsidRPr="00391592">
              <w:rPr>
                <w:lang w:val="en-US"/>
              </w:rPr>
              <w:t>2B2</w:t>
            </w:r>
            <w:proofErr w:type="spellEnd"/>
            <w:r w:rsidRPr="00391592">
              <w:rPr>
                <w:lang w:val="en-US"/>
              </w:rPr>
              <w:t xml:space="preserve">, </w:t>
            </w:r>
            <w:proofErr w:type="spellStart"/>
            <w:r w:rsidRPr="00391592">
              <w:rPr>
                <w:lang w:val="en-US"/>
              </w:rPr>
              <w:t>Ta2</w:t>
            </w:r>
            <w:proofErr w:type="spellEnd"/>
            <w:r w:rsidRPr="00391592">
              <w:rPr>
                <w:lang w:val="en-US"/>
              </w:rPr>
              <w:t>/</w:t>
            </w:r>
            <w:proofErr w:type="spellStart"/>
            <w:r w:rsidRPr="00391592">
              <w:rPr>
                <w:lang w:val="en-US"/>
              </w:rPr>
              <w:t>3Ti1</w:t>
            </w:r>
            <w:proofErr w:type="spellEnd"/>
            <w:r w:rsidRPr="00391592">
              <w:rPr>
                <w:lang w:val="en-US"/>
              </w:rPr>
              <w:t>/</w:t>
            </w:r>
            <w:proofErr w:type="spellStart"/>
            <w:r w:rsidRPr="00391592">
              <w:rPr>
                <w:lang w:val="en-US"/>
              </w:rPr>
              <w:t>3B2</w:t>
            </w:r>
            <w:proofErr w:type="spellEnd"/>
            <w:r w:rsidRPr="00391592">
              <w:rPr>
                <w:lang w:val="en-US"/>
              </w:rPr>
              <w:t xml:space="preserve">, </w:t>
            </w:r>
            <w:proofErr w:type="spellStart"/>
            <w:r w:rsidRPr="00391592">
              <w:rPr>
                <w:lang w:val="en-US"/>
              </w:rPr>
              <w:t>Ta7</w:t>
            </w:r>
            <w:proofErr w:type="spellEnd"/>
            <w:r w:rsidRPr="00391592">
              <w:rPr>
                <w:lang w:val="en-US"/>
              </w:rPr>
              <w:t>/</w:t>
            </w:r>
            <w:proofErr w:type="spellStart"/>
            <w:r w:rsidRPr="00391592">
              <w:rPr>
                <w:lang w:val="en-US"/>
              </w:rPr>
              <w:t>9Ti2</w:t>
            </w:r>
            <w:proofErr w:type="spellEnd"/>
            <w:r w:rsidRPr="00391592">
              <w:rPr>
                <w:lang w:val="en-US"/>
              </w:rPr>
              <w:t>/</w:t>
            </w:r>
            <w:proofErr w:type="spellStart"/>
            <w:r w:rsidRPr="00391592">
              <w:rPr>
                <w:lang w:val="en-US"/>
              </w:rPr>
              <w:t>9B2</w:t>
            </w:r>
            <w:proofErr w:type="spellEnd"/>
            <w:r w:rsidRPr="00391592">
              <w:rPr>
                <w:lang w:val="en-US"/>
              </w:rPr>
              <w:t xml:space="preserve">, </w:t>
            </w:r>
            <w:proofErr w:type="spellStart"/>
            <w:r w:rsidRPr="00391592">
              <w:rPr>
                <w:lang w:val="en-US"/>
              </w:rPr>
              <w:t>Ta5</w:t>
            </w:r>
            <w:proofErr w:type="spellEnd"/>
            <w:r w:rsidRPr="00391592">
              <w:rPr>
                <w:lang w:val="en-US"/>
              </w:rPr>
              <w:t>/</w:t>
            </w:r>
            <w:proofErr w:type="spellStart"/>
            <w:r w:rsidRPr="00391592">
              <w:rPr>
                <w:lang w:val="en-US"/>
              </w:rPr>
              <w:t>6Ti1</w:t>
            </w:r>
            <w:proofErr w:type="spellEnd"/>
            <w:r w:rsidRPr="00391592">
              <w:rPr>
                <w:lang w:val="en-US"/>
              </w:rPr>
              <w:t>/</w:t>
            </w:r>
            <w:proofErr w:type="spellStart"/>
            <w:r w:rsidRPr="00391592">
              <w:rPr>
                <w:lang w:val="en-US"/>
              </w:rPr>
              <w:t>6B2</w:t>
            </w:r>
            <w:proofErr w:type="spellEnd"/>
            <w:r w:rsidRPr="00391592">
              <w:rPr>
                <w:lang w:val="en-US"/>
              </w:rPr>
              <w:t xml:space="preserve">, and </w:t>
            </w:r>
            <w:proofErr w:type="spellStart"/>
            <w:r w:rsidRPr="00391592">
              <w:rPr>
                <w:lang w:val="en-US"/>
              </w:rPr>
              <w:t>Ta8</w:t>
            </w:r>
            <w:proofErr w:type="spellEnd"/>
            <w:r w:rsidRPr="00391592">
              <w:rPr>
                <w:lang w:val="en-US"/>
              </w:rPr>
              <w:t>/</w:t>
            </w:r>
            <w:proofErr w:type="spellStart"/>
            <w:r w:rsidRPr="00391592">
              <w:rPr>
                <w:lang w:val="en-US"/>
              </w:rPr>
              <w:t>9Ti1</w:t>
            </w:r>
            <w:proofErr w:type="spellEnd"/>
            <w:r w:rsidRPr="00391592">
              <w:rPr>
                <w:lang w:val="en-US"/>
              </w:rPr>
              <w:t>/</w:t>
            </w:r>
            <w:proofErr w:type="spellStart"/>
            <w:r w:rsidRPr="00391592">
              <w:rPr>
                <w:lang w:val="en-US"/>
              </w:rPr>
              <w:t>9B2</w:t>
            </w:r>
            <w:proofErr w:type="spellEnd"/>
            <w:r w:rsidRPr="00391592">
              <w:rPr>
                <w:lang w:val="en-US"/>
              </w:rPr>
              <w:t>, are predicted here.</w:t>
            </w:r>
          </w:p>
        </w:tc>
      </w:tr>
    </w:tbl>
    <w:p w14:paraId="5E410CFF" w14:textId="77777777" w:rsidR="00391592" w:rsidRDefault="00391592" w:rsidP="00391592">
      <w:pPr>
        <w:rPr>
          <w:lang w:val="en-US"/>
        </w:rPr>
      </w:pPr>
    </w:p>
    <w:p w14:paraId="345B2583" w14:textId="77777777" w:rsidR="00EB46C4" w:rsidRPr="00391592" w:rsidRDefault="00EB46C4" w:rsidP="00391592">
      <w:pPr>
        <w:rPr>
          <w:lang w:val="en-US"/>
        </w:rPr>
      </w:pPr>
    </w:p>
    <w:p w14:paraId="49590002" w14:textId="18390352" w:rsidR="00391592" w:rsidRPr="00391592" w:rsidRDefault="00391592" w:rsidP="00391592">
      <w:r w:rsidRPr="00391592">
        <w:t>100% | </w:t>
      </w:r>
      <w:hyperlink r:id="rId66" w:history="1">
        <w:r w:rsidRPr="00391592">
          <w:rPr>
            <w:rStyle w:val="Hyperlink"/>
            <w:b/>
            <w:bCs/>
          </w:rPr>
          <w:t>Mobil-Ansicht</w:t>
        </w:r>
      </w:hyperlink>
      <w:r w:rsidRPr="00391592">
        <w:t> | </w:t>
      </w:r>
      <w:hyperlink r:id="rId67" w:history="1">
        <w:r w:rsidRPr="00391592">
          <w:rPr>
            <w:rStyle w:val="Hyperlink"/>
            <w:b/>
            <w:bCs/>
          </w:rPr>
          <w:t>English Version</w:t>
        </w:r>
      </w:hyperlink>
      <w:r w:rsidRPr="00391592">
        <w:t> | </w:t>
      </w:r>
      <w:hyperlink r:id="rId68" w:history="1">
        <w:r w:rsidRPr="00391592">
          <w:rPr>
            <w:rStyle w:val="Hyperlink"/>
            <w:b/>
            <w:bCs/>
          </w:rPr>
          <w:t>Kontakt/Impressum/Datenschutz</w:t>
        </w:r>
      </w:hyperlink>
    </w:p>
    <w:p w14:paraId="76622990" w14:textId="77777777" w:rsidR="00391592" w:rsidRPr="00391592" w:rsidRDefault="00000000" w:rsidP="00391592">
      <w:hyperlink r:id="rId69" w:history="1">
        <w:r w:rsidR="00391592" w:rsidRPr="00391592">
          <w:rPr>
            <w:rStyle w:val="Hyperlink"/>
            <w:b/>
            <w:bCs/>
          </w:rPr>
          <w:t>DPG-Physik</w:t>
        </w:r>
      </w:hyperlink>
      <w:r w:rsidR="00391592" w:rsidRPr="00391592">
        <w:t> &gt; </w:t>
      </w:r>
      <w:hyperlink r:id="rId70" w:history="1">
        <w:r w:rsidR="00391592" w:rsidRPr="00391592">
          <w:rPr>
            <w:rStyle w:val="Hyperlink"/>
            <w:b/>
            <w:bCs/>
          </w:rPr>
          <w:t>DPG-Verhandlungen</w:t>
        </w:r>
      </w:hyperlink>
      <w:r w:rsidR="00391592" w:rsidRPr="00391592">
        <w:t> &gt; </w:t>
      </w:r>
      <w:hyperlink r:id="rId71" w:history="1">
        <w:r w:rsidR="00391592" w:rsidRPr="00391592">
          <w:rPr>
            <w:rStyle w:val="Hyperlink"/>
            <w:b/>
            <w:bCs/>
          </w:rPr>
          <w:t>2024</w:t>
        </w:r>
      </w:hyperlink>
      <w:r w:rsidR="00391592" w:rsidRPr="00391592">
        <w:t> &gt; Berlin</w:t>
      </w:r>
    </w:p>
    <w:p w14:paraId="4829E8B9" w14:textId="2EE162D0" w:rsidR="00391592" w:rsidRPr="009F043D" w:rsidRDefault="00391592" w:rsidP="009F043D"/>
    <w:p w14:paraId="0CD1E6A1" w14:textId="77777777" w:rsidR="003D3AE7" w:rsidRDefault="003D3AE7"/>
    <w:sectPr w:rsidR="003D3A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E7"/>
    <w:rsid w:val="00191792"/>
    <w:rsid w:val="00391592"/>
    <w:rsid w:val="003C1CAD"/>
    <w:rsid w:val="003D3AE7"/>
    <w:rsid w:val="00812E69"/>
    <w:rsid w:val="008426E2"/>
    <w:rsid w:val="00847765"/>
    <w:rsid w:val="008555EF"/>
    <w:rsid w:val="008C1034"/>
    <w:rsid w:val="009957FF"/>
    <w:rsid w:val="009F043D"/>
    <w:rsid w:val="00A51697"/>
    <w:rsid w:val="00EB46C4"/>
    <w:rsid w:val="00FA1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BC7D"/>
  <w15:chartTrackingRefBased/>
  <w15:docId w15:val="{1B4B12BD-59A8-44F5-8540-3C743219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3AE7"/>
    <w:pPr>
      <w:spacing w:after="40"/>
    </w:pPr>
    <w:rPr>
      <w:rFonts w:ascii="Arial" w:hAnsi="Arial"/>
    </w:rPr>
  </w:style>
  <w:style w:type="paragraph" w:styleId="berschrift1">
    <w:name w:val="heading 1"/>
    <w:basedOn w:val="Standard"/>
    <w:next w:val="Standard"/>
    <w:link w:val="berschrift1Zchn"/>
    <w:uiPriority w:val="9"/>
    <w:qFormat/>
    <w:rsid w:val="003D3A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3D3A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D3AE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D3AE7"/>
    <w:pPr>
      <w:keepNext/>
      <w:keepLines/>
      <w:spacing w:before="8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D3AE7"/>
    <w:pPr>
      <w:keepNext/>
      <w:keepLines/>
      <w:spacing w:before="8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D3A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3AE7"/>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D3AE7"/>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3AE7"/>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EB46C4"/>
    <w:pPr>
      <w:spacing w:after="0" w:line="240" w:lineRule="auto"/>
      <w:contextualSpacing/>
      <w:jc w:val="center"/>
    </w:pPr>
    <w:rPr>
      <w:rFonts w:asciiTheme="majorHAnsi" w:eastAsiaTheme="majorEastAsia" w:hAnsiTheme="majorHAnsi" w:cstheme="majorBidi"/>
      <w:b/>
      <w:bCs/>
      <w:spacing w:val="-10"/>
      <w:kern w:val="28"/>
      <w:sz w:val="56"/>
      <w:szCs w:val="56"/>
    </w:rPr>
  </w:style>
  <w:style w:type="character" w:customStyle="1" w:styleId="TitelZchn">
    <w:name w:val="Titel Zchn"/>
    <w:basedOn w:val="Absatz-Standardschriftart"/>
    <w:link w:val="Titel"/>
    <w:uiPriority w:val="10"/>
    <w:rsid w:val="00EB46C4"/>
    <w:rPr>
      <w:rFonts w:asciiTheme="majorHAnsi" w:eastAsiaTheme="majorEastAsia" w:hAnsiTheme="majorHAnsi" w:cstheme="majorBidi"/>
      <w:b/>
      <w:bCs/>
      <w:spacing w:val="-10"/>
      <w:kern w:val="28"/>
      <w:sz w:val="56"/>
      <w:szCs w:val="56"/>
    </w:rPr>
  </w:style>
  <w:style w:type="character" w:customStyle="1" w:styleId="berschrift1Zchn">
    <w:name w:val="Überschrift 1 Zchn"/>
    <w:basedOn w:val="Absatz-Standardschriftart"/>
    <w:link w:val="berschrift1"/>
    <w:uiPriority w:val="9"/>
    <w:rsid w:val="003D3AE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3D3AE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D3AE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D3AE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D3AE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D3A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3A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3A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3AE7"/>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3D3AE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3A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3AE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D3AE7"/>
    <w:rPr>
      <w:rFonts w:ascii="Arial" w:hAnsi="Arial"/>
      <w:i/>
      <w:iCs/>
      <w:color w:val="404040" w:themeColor="text1" w:themeTint="BF"/>
    </w:rPr>
  </w:style>
  <w:style w:type="paragraph" w:styleId="Listenabsatz">
    <w:name w:val="List Paragraph"/>
    <w:basedOn w:val="Standard"/>
    <w:uiPriority w:val="34"/>
    <w:qFormat/>
    <w:rsid w:val="003D3AE7"/>
    <w:pPr>
      <w:ind w:left="720"/>
      <w:contextualSpacing/>
    </w:pPr>
  </w:style>
  <w:style w:type="character" w:styleId="IntensiveHervorhebung">
    <w:name w:val="Intense Emphasis"/>
    <w:basedOn w:val="Absatz-Standardschriftart"/>
    <w:uiPriority w:val="21"/>
    <w:qFormat/>
    <w:rsid w:val="003D3AE7"/>
    <w:rPr>
      <w:i/>
      <w:iCs/>
      <w:color w:val="2F5496" w:themeColor="accent1" w:themeShade="BF"/>
    </w:rPr>
  </w:style>
  <w:style w:type="paragraph" w:styleId="IntensivesZitat">
    <w:name w:val="Intense Quote"/>
    <w:basedOn w:val="Standard"/>
    <w:next w:val="Standard"/>
    <w:link w:val="IntensivesZitatZchn"/>
    <w:uiPriority w:val="30"/>
    <w:qFormat/>
    <w:rsid w:val="003D3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D3AE7"/>
    <w:rPr>
      <w:rFonts w:ascii="Arial" w:hAnsi="Arial"/>
      <w:i/>
      <w:iCs/>
      <w:color w:val="2F5496" w:themeColor="accent1" w:themeShade="BF"/>
    </w:rPr>
  </w:style>
  <w:style w:type="character" w:styleId="IntensiverVerweis">
    <w:name w:val="Intense Reference"/>
    <w:basedOn w:val="Absatz-Standardschriftart"/>
    <w:uiPriority w:val="32"/>
    <w:qFormat/>
    <w:rsid w:val="003D3AE7"/>
    <w:rPr>
      <w:b/>
      <w:bCs/>
      <w:smallCaps/>
      <w:color w:val="2F5496" w:themeColor="accent1" w:themeShade="BF"/>
      <w:spacing w:val="5"/>
    </w:rPr>
  </w:style>
  <w:style w:type="character" w:styleId="Hyperlink">
    <w:name w:val="Hyperlink"/>
    <w:basedOn w:val="Absatz-Standardschriftart"/>
    <w:uiPriority w:val="99"/>
    <w:unhideWhenUsed/>
    <w:rsid w:val="003D3AE7"/>
    <w:rPr>
      <w:color w:val="0563C1" w:themeColor="hyperlink"/>
      <w:u w:val="single"/>
    </w:rPr>
  </w:style>
  <w:style w:type="character" w:styleId="BesuchterLink">
    <w:name w:val="FollowedHyperlink"/>
    <w:basedOn w:val="Absatz-Standardschriftart"/>
    <w:uiPriority w:val="99"/>
    <w:semiHidden/>
    <w:unhideWhenUsed/>
    <w:rsid w:val="003D3AE7"/>
    <w:rPr>
      <w:color w:val="954F72" w:themeColor="followedHyperlink"/>
      <w:u w:val="single"/>
    </w:rPr>
  </w:style>
  <w:style w:type="character" w:styleId="NichtaufgelsteErwhnung">
    <w:name w:val="Unresolved Mention"/>
    <w:basedOn w:val="Absatz-Standardschriftart"/>
    <w:uiPriority w:val="99"/>
    <w:semiHidden/>
    <w:unhideWhenUsed/>
    <w:rsid w:val="003D3AE7"/>
    <w:rPr>
      <w:color w:val="605E5C"/>
      <w:shd w:val="clear" w:color="auto" w:fill="E1DFDD"/>
    </w:rPr>
  </w:style>
  <w:style w:type="paragraph" w:styleId="Inhaltsverzeichnisberschrift">
    <w:name w:val="TOC Heading"/>
    <w:basedOn w:val="berschrift1"/>
    <w:next w:val="Standard"/>
    <w:uiPriority w:val="39"/>
    <w:unhideWhenUsed/>
    <w:qFormat/>
    <w:rsid w:val="00391592"/>
    <w:pPr>
      <w:spacing w:before="240" w:after="0"/>
      <w:outlineLvl w:val="9"/>
    </w:pPr>
    <w:rPr>
      <w:kern w:val="0"/>
      <w:sz w:val="32"/>
      <w:szCs w:val="32"/>
      <w:lang w:eastAsia="de-DE"/>
      <w14:ligatures w14:val="none"/>
    </w:rPr>
  </w:style>
  <w:style w:type="paragraph" w:styleId="Verzeichnis1">
    <w:name w:val="toc 1"/>
    <w:basedOn w:val="Standard"/>
    <w:next w:val="Standard"/>
    <w:autoRedefine/>
    <w:uiPriority w:val="39"/>
    <w:unhideWhenUsed/>
    <w:rsid w:val="00391592"/>
    <w:pPr>
      <w:spacing w:after="100"/>
    </w:pPr>
  </w:style>
  <w:style w:type="paragraph" w:styleId="Verzeichnis2">
    <w:name w:val="toc 2"/>
    <w:basedOn w:val="Standard"/>
    <w:next w:val="Standard"/>
    <w:autoRedefine/>
    <w:uiPriority w:val="39"/>
    <w:unhideWhenUsed/>
    <w:rsid w:val="00391592"/>
    <w:pPr>
      <w:spacing w:after="100"/>
      <w:ind w:left="220"/>
    </w:pPr>
  </w:style>
  <w:style w:type="paragraph" w:styleId="Verzeichnis3">
    <w:name w:val="toc 3"/>
    <w:basedOn w:val="Standard"/>
    <w:next w:val="Standard"/>
    <w:autoRedefine/>
    <w:uiPriority w:val="39"/>
    <w:unhideWhenUsed/>
    <w:rsid w:val="0039159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661498">
      <w:bodyDiv w:val="1"/>
      <w:marLeft w:val="0"/>
      <w:marRight w:val="0"/>
      <w:marTop w:val="0"/>
      <w:marBottom w:val="0"/>
      <w:divBdr>
        <w:top w:val="none" w:sz="0" w:space="0" w:color="auto"/>
        <w:left w:val="none" w:sz="0" w:space="0" w:color="auto"/>
        <w:bottom w:val="none" w:sz="0" w:space="0" w:color="auto"/>
        <w:right w:val="none" w:sz="0" w:space="0" w:color="auto"/>
      </w:divBdr>
      <w:divsChild>
        <w:div w:id="1321614125">
          <w:marLeft w:val="0"/>
          <w:marRight w:val="0"/>
          <w:marTop w:val="0"/>
          <w:marBottom w:val="0"/>
          <w:divBdr>
            <w:top w:val="none" w:sz="0" w:space="0" w:color="auto"/>
            <w:left w:val="single" w:sz="12" w:space="15" w:color="363B90"/>
            <w:bottom w:val="none" w:sz="0" w:space="0" w:color="auto"/>
            <w:right w:val="single" w:sz="12" w:space="15" w:color="363B90"/>
          </w:divBdr>
        </w:div>
        <w:div w:id="1324429091">
          <w:marLeft w:val="0"/>
          <w:marRight w:val="0"/>
          <w:marTop w:val="0"/>
          <w:marBottom w:val="0"/>
          <w:divBdr>
            <w:top w:val="single" w:sz="36" w:space="8" w:color="C0DD00"/>
            <w:left w:val="none" w:sz="0" w:space="0" w:color="auto"/>
            <w:bottom w:val="none" w:sz="0" w:space="0" w:color="auto"/>
            <w:right w:val="none" w:sz="0" w:space="0" w:color="auto"/>
          </w:divBdr>
          <w:divsChild>
            <w:div w:id="12283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2303">
      <w:bodyDiv w:val="1"/>
      <w:marLeft w:val="0"/>
      <w:marRight w:val="0"/>
      <w:marTop w:val="0"/>
      <w:marBottom w:val="0"/>
      <w:divBdr>
        <w:top w:val="none" w:sz="0" w:space="0" w:color="auto"/>
        <w:left w:val="none" w:sz="0" w:space="0" w:color="auto"/>
        <w:bottom w:val="none" w:sz="0" w:space="0" w:color="auto"/>
        <w:right w:val="none" w:sz="0" w:space="0" w:color="auto"/>
      </w:divBdr>
      <w:divsChild>
        <w:div w:id="1083724988">
          <w:marLeft w:val="0"/>
          <w:marRight w:val="0"/>
          <w:marTop w:val="0"/>
          <w:marBottom w:val="0"/>
          <w:divBdr>
            <w:top w:val="none" w:sz="0" w:space="0" w:color="auto"/>
            <w:left w:val="single" w:sz="12" w:space="15" w:color="363B90"/>
            <w:bottom w:val="none" w:sz="0" w:space="0" w:color="auto"/>
            <w:right w:val="single" w:sz="12" w:space="15" w:color="363B90"/>
          </w:divBdr>
        </w:div>
        <w:div w:id="368334566">
          <w:marLeft w:val="0"/>
          <w:marRight w:val="0"/>
          <w:marTop w:val="0"/>
          <w:marBottom w:val="0"/>
          <w:divBdr>
            <w:top w:val="single" w:sz="36" w:space="8" w:color="C0DD00"/>
            <w:left w:val="none" w:sz="0" w:space="0" w:color="auto"/>
            <w:bottom w:val="none" w:sz="0" w:space="0" w:color="auto"/>
            <w:right w:val="none" w:sz="0" w:space="0" w:color="auto"/>
          </w:divBdr>
          <w:divsChild>
            <w:div w:id="15102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2546">
      <w:bodyDiv w:val="1"/>
      <w:marLeft w:val="0"/>
      <w:marRight w:val="0"/>
      <w:marTop w:val="0"/>
      <w:marBottom w:val="0"/>
      <w:divBdr>
        <w:top w:val="none" w:sz="0" w:space="0" w:color="auto"/>
        <w:left w:val="none" w:sz="0" w:space="0" w:color="auto"/>
        <w:bottom w:val="none" w:sz="0" w:space="0" w:color="auto"/>
        <w:right w:val="none" w:sz="0" w:space="0" w:color="auto"/>
      </w:divBdr>
      <w:divsChild>
        <w:div w:id="1794713722">
          <w:marLeft w:val="0"/>
          <w:marRight w:val="0"/>
          <w:marTop w:val="0"/>
          <w:marBottom w:val="0"/>
          <w:divBdr>
            <w:top w:val="none" w:sz="0" w:space="0" w:color="auto"/>
            <w:left w:val="single" w:sz="12" w:space="15" w:color="363B90"/>
            <w:bottom w:val="none" w:sz="0" w:space="0" w:color="auto"/>
            <w:right w:val="single" w:sz="12" w:space="15" w:color="363B90"/>
          </w:divBdr>
        </w:div>
        <w:div w:id="1520313586">
          <w:marLeft w:val="0"/>
          <w:marRight w:val="0"/>
          <w:marTop w:val="0"/>
          <w:marBottom w:val="0"/>
          <w:divBdr>
            <w:top w:val="single" w:sz="36" w:space="8" w:color="C0DD00"/>
            <w:left w:val="none" w:sz="0" w:space="0" w:color="auto"/>
            <w:bottom w:val="none" w:sz="0" w:space="0" w:color="auto"/>
            <w:right w:val="none" w:sz="0" w:space="0" w:color="auto"/>
          </w:divBdr>
          <w:divsChild>
            <w:div w:id="19427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79451">
      <w:bodyDiv w:val="1"/>
      <w:marLeft w:val="0"/>
      <w:marRight w:val="0"/>
      <w:marTop w:val="0"/>
      <w:marBottom w:val="0"/>
      <w:divBdr>
        <w:top w:val="none" w:sz="0" w:space="0" w:color="auto"/>
        <w:left w:val="none" w:sz="0" w:space="0" w:color="auto"/>
        <w:bottom w:val="none" w:sz="0" w:space="0" w:color="auto"/>
        <w:right w:val="none" w:sz="0" w:space="0" w:color="auto"/>
      </w:divBdr>
      <w:divsChild>
        <w:div w:id="128591138">
          <w:marLeft w:val="0"/>
          <w:marRight w:val="0"/>
          <w:marTop w:val="0"/>
          <w:marBottom w:val="0"/>
          <w:divBdr>
            <w:top w:val="none" w:sz="0" w:space="0" w:color="auto"/>
            <w:left w:val="single" w:sz="12" w:space="15" w:color="363B90"/>
            <w:bottom w:val="none" w:sz="0" w:space="0" w:color="auto"/>
            <w:right w:val="single" w:sz="12" w:space="15" w:color="363B90"/>
          </w:divBdr>
        </w:div>
        <w:div w:id="1912108313">
          <w:marLeft w:val="0"/>
          <w:marRight w:val="0"/>
          <w:marTop w:val="0"/>
          <w:marBottom w:val="0"/>
          <w:divBdr>
            <w:top w:val="single" w:sz="36" w:space="8" w:color="C0DD00"/>
            <w:left w:val="none" w:sz="0" w:space="0" w:color="auto"/>
            <w:bottom w:val="none" w:sz="0" w:space="0" w:color="auto"/>
            <w:right w:val="none" w:sz="0" w:space="0" w:color="auto"/>
          </w:divBdr>
          <w:divsChild>
            <w:div w:id="6600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s://www.dpg-verhandlungen.de/year/2024/conference/berlin/part/ake/session/1/contribution/3" TargetMode="External"/><Relationship Id="rId26" Type="http://schemas.openxmlformats.org/officeDocument/2006/relationships/hyperlink" Target="https://www.dpg-verhandlungen.de/year/2024/conference/berlin/part/ake/session/1/contribution/7" TargetMode="External"/><Relationship Id="rId39" Type="http://schemas.openxmlformats.org/officeDocument/2006/relationships/hyperlink" Target="https://www.dpg-verhandlungen.de/year/2024/conference/berlin/part/ake/session/2?lang=en" TargetMode="External"/><Relationship Id="rId21" Type="http://schemas.openxmlformats.org/officeDocument/2006/relationships/hyperlink" Target="https://www.dpg-verhandlungen.de/year/2024/conference/berlin/part/ake/session/1/contribution/5" TargetMode="External"/><Relationship Id="rId34" Type="http://schemas.openxmlformats.org/officeDocument/2006/relationships/hyperlink" Target="https://www.dpg-verhandlungen.de/year/2024/conference/berlin/part/ake/session/2/contribution/4" TargetMode="External"/><Relationship Id="rId42" Type="http://schemas.openxmlformats.org/officeDocument/2006/relationships/hyperlink" Target="https://www.dpg-verhandlungen.de/" TargetMode="External"/><Relationship Id="rId47" Type="http://schemas.openxmlformats.org/officeDocument/2006/relationships/hyperlink" Target="https://www.dpg-verhandlungen.de/year/2024/conference/berlin/part/ake/session/3/contribution/2" TargetMode="External"/><Relationship Id="rId50" Type="http://schemas.openxmlformats.org/officeDocument/2006/relationships/hyperlink" Target="https://www.dpg-verhandlungen.de/year/2024/conference/berlin/part/ake/session/3/contribution/4" TargetMode="External"/><Relationship Id="rId55" Type="http://schemas.openxmlformats.org/officeDocument/2006/relationships/hyperlink" Target="https://www.dpg-verhandlungen.de/year/2024/conference/berlin/part/ake/session/3/contribution/6" TargetMode="External"/><Relationship Id="rId63" Type="http://schemas.openxmlformats.org/officeDocument/2006/relationships/hyperlink" Target="https://www.dpg-verhandlungen.de/year/2024/conference/berlin/part/ake/session/3/contribution/10" TargetMode="External"/><Relationship Id="rId68" Type="http://schemas.openxmlformats.org/officeDocument/2006/relationships/hyperlink" Target="https://www.dpg-verhandlungen.de/contact.html" TargetMode="External"/><Relationship Id="rId7" Type="http://schemas.openxmlformats.org/officeDocument/2006/relationships/hyperlink" Target="https://www.dpg-verhandlungen.de/year/2024/conference/berlin/part/ake" TargetMode="External"/><Relationship Id="rId71" Type="http://schemas.openxmlformats.org/officeDocument/2006/relationships/hyperlink" Target="https://www.dpg-verhandlungen.de/2024/index.html" TargetMode="External"/><Relationship Id="rId2" Type="http://schemas.openxmlformats.org/officeDocument/2006/relationships/styles" Target="styles.xml"/><Relationship Id="rId16" Type="http://schemas.openxmlformats.org/officeDocument/2006/relationships/hyperlink" Target="https://www.dpg-verhandlungen.de/year/2024/conference/berlin/part/ake/session/1/contribution/2" TargetMode="External"/><Relationship Id="rId29" Type="http://schemas.openxmlformats.org/officeDocument/2006/relationships/hyperlink" Target="https://www.dpg-verhandlungen.de/year/2024/conference/berlin/part/ake/session/2/contribution/1" TargetMode="External"/><Relationship Id="rId11" Type="http://schemas.openxmlformats.org/officeDocument/2006/relationships/hyperlink" Target="https://www.dpg-verhandlungen.de/year/2024/conference/berlin/part/ake/session/1" TargetMode="External"/><Relationship Id="rId24" Type="http://schemas.openxmlformats.org/officeDocument/2006/relationships/hyperlink" Target="https://www.dpg-verhandlungen.de/year/2024/conference/berlin/part/ake/session/1/contribution/6" TargetMode="External"/><Relationship Id="rId32" Type="http://schemas.openxmlformats.org/officeDocument/2006/relationships/hyperlink" Target="https://www.dpg-verhandlungen.de/year/2024/conference/berlin/part/ake/session/2/contribution/3" TargetMode="External"/><Relationship Id="rId37" Type="http://schemas.openxmlformats.org/officeDocument/2006/relationships/hyperlink" Target="https://www.dpg-verhandlungen.de/year/2024/conference/berlin/part/ake/session/2/contribution/5" TargetMode="External"/><Relationship Id="rId40" Type="http://schemas.openxmlformats.org/officeDocument/2006/relationships/hyperlink" Target="https://www.dpg-verhandlungen.de/contact.html" TargetMode="External"/><Relationship Id="rId45" Type="http://schemas.openxmlformats.org/officeDocument/2006/relationships/hyperlink" Target="https://www.dpg-verhandlungen.de/year/2024/conference/berlin/part/ake/session/3/contribution/1" TargetMode="External"/><Relationship Id="rId53" Type="http://schemas.openxmlformats.org/officeDocument/2006/relationships/hyperlink" Target="https://www.dpg-verhandlungen.de/year/2024/conference/berlin/part/ake/session/3/contribution/5" TargetMode="External"/><Relationship Id="rId58" Type="http://schemas.openxmlformats.org/officeDocument/2006/relationships/hyperlink" Target="https://www.dpg-verhandlungen.de/year/2024/conference/berlin/part/ake/session/3/contribution/8" TargetMode="External"/><Relationship Id="rId66" Type="http://schemas.openxmlformats.org/officeDocument/2006/relationships/hyperlink" Target="https://www.dpg-verhandlungen.de/year/2024/conference/berlin/part/ake/session/3?layout=mobile" TargetMode="External"/><Relationship Id="rId5" Type="http://schemas.openxmlformats.org/officeDocument/2006/relationships/hyperlink" Target="https://www.dpg-verhandlungen.de/year/2024/conference/berlin/part/ake" TargetMode="External"/><Relationship Id="rId15" Type="http://schemas.openxmlformats.org/officeDocument/2006/relationships/hyperlink" Target="https://www.dpg-verhandlungen.de/year/2024/conference/berlin/part/ake/session/1/contribution/2" TargetMode="External"/><Relationship Id="rId23" Type="http://schemas.openxmlformats.org/officeDocument/2006/relationships/image" Target="media/image2.gif"/><Relationship Id="rId28" Type="http://schemas.openxmlformats.org/officeDocument/2006/relationships/hyperlink" Target="https://www.dpg-verhandlungen.de/year/2024/conference/berlin/part/ake/session/2/contribution/1" TargetMode="External"/><Relationship Id="rId36" Type="http://schemas.openxmlformats.org/officeDocument/2006/relationships/hyperlink" Target="https://www.dpg-verhandlungen.de/year/2024/conference/berlin/part/ake/session/2/contribution/5" TargetMode="External"/><Relationship Id="rId49" Type="http://schemas.openxmlformats.org/officeDocument/2006/relationships/hyperlink" Target="https://www.dpg-verhandlungen.de/year/2024/conference/berlin/part/ake/session/3/contribution/3" TargetMode="External"/><Relationship Id="rId57" Type="http://schemas.openxmlformats.org/officeDocument/2006/relationships/hyperlink" Target="https://www.dpg-verhandlungen.de/year/2024/conference/berlin/part/ake/session/3/contribution/7" TargetMode="External"/><Relationship Id="rId61" Type="http://schemas.openxmlformats.org/officeDocument/2006/relationships/hyperlink" Target="https://www.dpg-verhandlungen.de/year/2024/conference/berlin/part/ake/session/3/contribution/9" TargetMode="External"/><Relationship Id="rId10" Type="http://schemas.openxmlformats.org/officeDocument/2006/relationships/hyperlink" Target="https://www.dpg-verhandlungen.de/year/2024/conference/berlin/part/ake/session/3" TargetMode="External"/><Relationship Id="rId19" Type="http://schemas.openxmlformats.org/officeDocument/2006/relationships/hyperlink" Target="https://www.dpg-verhandlungen.de/year/2024/conference/berlin/part/ake/session/1/contribution/4" TargetMode="External"/><Relationship Id="rId31" Type="http://schemas.openxmlformats.org/officeDocument/2006/relationships/hyperlink" Target="https://www.dpg-verhandlungen.de/year/2024/conference/berlin/part/ake/session/2/contribution/2" TargetMode="External"/><Relationship Id="rId44" Type="http://schemas.openxmlformats.org/officeDocument/2006/relationships/hyperlink" Target="https://www.dpg-verhandlungen.de/year/2024/conference/berlin/part/ake/session/3/contribution/1" TargetMode="External"/><Relationship Id="rId52" Type="http://schemas.openxmlformats.org/officeDocument/2006/relationships/hyperlink" Target="https://www.dpg-verhandlungen.de/year/2024/conference/berlin/part/ake/session/3/contribution/5" TargetMode="External"/><Relationship Id="rId60" Type="http://schemas.openxmlformats.org/officeDocument/2006/relationships/hyperlink" Target="https://www.dpg-verhandlungen.de/year/2024/conference/berlin/part/ake/session/3/contribution/9" TargetMode="External"/><Relationship Id="rId65" Type="http://schemas.openxmlformats.org/officeDocument/2006/relationships/hyperlink" Target="https://www.dpg-verhandlungen.de/year/2024/conference/berlin/part/ake/session/3/contribution/11"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pg-verhandlungen.de/year/2024/conference/berlin/part/ake/session/2" TargetMode="External"/><Relationship Id="rId14" Type="http://schemas.openxmlformats.org/officeDocument/2006/relationships/hyperlink" Target="https://www.dpg-verhandlungen.de/year/2024/conference/berlin/part/ake/session/1/contribution/1" TargetMode="External"/><Relationship Id="rId22" Type="http://schemas.openxmlformats.org/officeDocument/2006/relationships/hyperlink" Target="https://www.dpg-verhandlungen.de/year/2024/conference/berlin/part/ake/session/1/contribution/5" TargetMode="External"/><Relationship Id="rId27" Type="http://schemas.openxmlformats.org/officeDocument/2006/relationships/hyperlink" Target="https://www.dpg-verhandlungen.de/year/2024/conference/berlin/part/ake/session/1/contribution/7" TargetMode="External"/><Relationship Id="rId30" Type="http://schemas.openxmlformats.org/officeDocument/2006/relationships/hyperlink" Target="https://www.dpg-verhandlungen.de/year/2024/conference/berlin/part/ake/session/2/contribution/2" TargetMode="External"/><Relationship Id="rId35" Type="http://schemas.openxmlformats.org/officeDocument/2006/relationships/hyperlink" Target="https://www.dpg-verhandlungen.de/year/2024/conference/berlin/part/ake/session/2/contribution/4" TargetMode="External"/><Relationship Id="rId43" Type="http://schemas.openxmlformats.org/officeDocument/2006/relationships/hyperlink" Target="https://www.dpg-verhandlungen.de/2024/index.html" TargetMode="External"/><Relationship Id="rId48" Type="http://schemas.openxmlformats.org/officeDocument/2006/relationships/hyperlink" Target="https://www.dpg-verhandlungen.de/year/2024/conference/berlin/part/ake/session/3/contribution/3" TargetMode="External"/><Relationship Id="rId56" Type="http://schemas.openxmlformats.org/officeDocument/2006/relationships/hyperlink" Target="https://www.dpg-verhandlungen.de/year/2024/conference/berlin/part/ake/session/3/contribution/7" TargetMode="External"/><Relationship Id="rId64" Type="http://schemas.openxmlformats.org/officeDocument/2006/relationships/hyperlink" Target="https://www.dpg-verhandlungen.de/year/2024/conference/berlin/part/ake/session/3/contribution/11" TargetMode="External"/><Relationship Id="rId69" Type="http://schemas.openxmlformats.org/officeDocument/2006/relationships/hyperlink" Target="http://www.dpg-physik.de/" TargetMode="External"/><Relationship Id="rId8" Type="http://schemas.openxmlformats.org/officeDocument/2006/relationships/hyperlink" Target="https://www.dpg-verhandlungen.de/year/2024/conference/berlin/part/ake/session/1" TargetMode="External"/><Relationship Id="rId51" Type="http://schemas.openxmlformats.org/officeDocument/2006/relationships/hyperlink" Target="https://www.dpg-verhandlungen.de/year/2024/conference/berlin/part/ake/session/3/contribution/4"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dpg-verhandlungen.de/year/2024/conference/berlin/part/ake/session/1/contribution/1" TargetMode="External"/><Relationship Id="rId17" Type="http://schemas.openxmlformats.org/officeDocument/2006/relationships/hyperlink" Target="https://www.dpg-verhandlungen.de/year/2024/conference/berlin/part/ake/session/1/contribution/3" TargetMode="External"/><Relationship Id="rId25" Type="http://schemas.openxmlformats.org/officeDocument/2006/relationships/hyperlink" Target="https://www.dpg-verhandlungen.de/year/2024/conference/berlin/part/ake/session/1/contribution/6" TargetMode="External"/><Relationship Id="rId33" Type="http://schemas.openxmlformats.org/officeDocument/2006/relationships/hyperlink" Target="https://www.dpg-verhandlungen.de/year/2024/conference/berlin/part/ake/session/2/contribution/3" TargetMode="External"/><Relationship Id="rId38" Type="http://schemas.openxmlformats.org/officeDocument/2006/relationships/hyperlink" Target="https://www.dpg-verhandlungen.de/year/2024/conference/berlin/part/ake/session/2?layout=mobile" TargetMode="External"/><Relationship Id="rId46" Type="http://schemas.openxmlformats.org/officeDocument/2006/relationships/hyperlink" Target="https://www.dpg-verhandlungen.de/year/2024/conference/berlin/part/ake/session/3/contribution/2" TargetMode="External"/><Relationship Id="rId59" Type="http://schemas.openxmlformats.org/officeDocument/2006/relationships/hyperlink" Target="https://www.dpg-verhandlungen.de/year/2024/conference/berlin/part/ake/session/3/contribution/8" TargetMode="External"/><Relationship Id="rId67" Type="http://schemas.openxmlformats.org/officeDocument/2006/relationships/hyperlink" Target="https://www.dpg-verhandlungen.de/year/2024/conference/berlin/part/ake/session/3?lang=en" TargetMode="External"/><Relationship Id="rId20" Type="http://schemas.openxmlformats.org/officeDocument/2006/relationships/hyperlink" Target="https://www.dpg-verhandlungen.de/year/2024/conference/berlin/part/ake/session/1/contribution/4" TargetMode="External"/><Relationship Id="rId41" Type="http://schemas.openxmlformats.org/officeDocument/2006/relationships/hyperlink" Target="http://www.dpg-physik.de/" TargetMode="External"/><Relationship Id="rId54" Type="http://schemas.openxmlformats.org/officeDocument/2006/relationships/hyperlink" Target="https://www.dpg-verhandlungen.de/year/2024/conference/berlin/part/ake/session/3/contribution/6" TargetMode="External"/><Relationship Id="rId62" Type="http://schemas.openxmlformats.org/officeDocument/2006/relationships/hyperlink" Target="https://www.dpg-verhandlungen.de/year/2024/conference/berlin/part/ake/session/3/contribution/10" TargetMode="External"/><Relationship Id="rId70" Type="http://schemas.openxmlformats.org/officeDocument/2006/relationships/hyperlink" Target="https://www.dpg-verhandlungen.de/" TargetMode="External"/><Relationship Id="rId1" Type="http://schemas.openxmlformats.org/officeDocument/2006/relationships/customXml" Target="../customXml/item1.xml"/><Relationship Id="rId6" Type="http://schemas.openxmlformats.org/officeDocument/2006/relationships/hyperlink" Target="https://www.dpg-verhandlungen.de/year/2024/conference/berl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DD50D-FDD5-477F-80E0-DB7B1750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5640</Words>
  <Characters>35535</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Luther</dc:creator>
  <cp:keywords/>
  <dc:description/>
  <cp:lastModifiedBy>Gerhard Luther</cp:lastModifiedBy>
  <cp:revision>5</cp:revision>
  <dcterms:created xsi:type="dcterms:W3CDTF">2024-03-11T10:48:00Z</dcterms:created>
  <dcterms:modified xsi:type="dcterms:W3CDTF">2024-03-11T14:54:00Z</dcterms:modified>
</cp:coreProperties>
</file>